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7A" w:rsidRDefault="008C797A" w:rsidP="008C797A">
      <w:pPr>
        <w:jc w:val="center"/>
        <w:rPr>
          <w:rFonts w:ascii="Times New Roman" w:hAnsi="Times New Roman" w:cs="Times New Roman"/>
          <w:b/>
          <w:lang w:val="pl-PL"/>
        </w:rPr>
      </w:pPr>
      <w:r w:rsidRPr="008C797A">
        <w:rPr>
          <w:rFonts w:ascii="Times New Roman" w:hAnsi="Times New Roman" w:cs="Times New Roman"/>
          <w:b/>
          <w:lang w:val="pl-PL"/>
        </w:rPr>
        <w:t>HISTORIA    ZAKRES  PODSTAWOWY   KLASY   III   TECHNIKUM</w:t>
      </w:r>
    </w:p>
    <w:p w:rsidR="001D2EE5" w:rsidRPr="001D2EE5" w:rsidRDefault="001D2EE5" w:rsidP="001D2EE5">
      <w:pPr>
        <w:rPr>
          <w:rFonts w:ascii="Times New Roman" w:hAnsi="Times New Roman" w:cs="Times New Roman"/>
          <w:b/>
          <w:bCs/>
          <w:lang w:val="pl-PL"/>
        </w:rPr>
      </w:pPr>
      <w:r w:rsidRPr="001D2EE5">
        <w:rPr>
          <w:rFonts w:ascii="Times New Roman" w:hAnsi="Times New Roman" w:cs="Times New Roman"/>
          <w:b/>
          <w:bCs/>
          <w:lang w:val="pl-PL"/>
        </w:rPr>
        <w:t>I. Sposoby sprawdzania osiągnięć edukacyjnych uczniów na lekcjach historii</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1. Sprawdzanie i ocenianie osiągnięć ucznia odbywa się na bieżąco, wg obowiązującej skali, tj. celujący (6),</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bardzo dobry (5), dobry (4), dostateczny (3), dopuszczający (2), niedostateczny (1)</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2. Na lekcjach historii mogą być oceniane następujące obszary aktywności:</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 zapowiedziane sprawdziany,</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 kartkówki,</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 odpowiedź ustna,</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 aktywność na lekcji,</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 praca z tekstami,</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 praca w grupie,</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 karty pracy,</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 zadania domowe,</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 projekt uczniowski (praca indywidualna i w zespole).</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3. Kryteria oceniania ucznia:</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a) Sprawdziany jednogodzinne: zgodność z tematem, stopień wyczerpania tematu, poprawność merytoryczna,</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przejrzystość, czytelność.</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b) Kartkówki z trzech ostatnich lekcji.</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c) Aktywność na lekcji: zaangażowanie ucznia, ciekawa i rzeczowa prezentacja przygotowanego materiału,</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udział w dyskusji, zgodność z bieżącym tematem.</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d) Odpowiedź ustna: znajomość zagadnienia, umiejętność kojarzenia różnych form informacji i wyciągania</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lastRenderedPageBreak/>
        <w:t>wniosków, sposób rozumienia tematu, poprawność języka, stosowanie właściwych terminów związanych z</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przedmiotem, jasność i logiczność wypowiedzi, samodzielność wypowiedzi, stopień wyczerpania tematu.</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e) Projekt uczniowski: oryginalność pomysłu, realność wdrożenia projektu, poziom merytoryczny projektu,</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kompletność projektu (stopień zgodności z wymaganą strukturą)</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f) Praca w grupie: poziom zaangażowania, poprawność merytoryczna, atrakcyjność formy i sposobu</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prezentacji, umiejętność porządkowania i hierarchizacji wiedzy wg stopnia ważności zdobytych informacji</w:t>
      </w:r>
    </w:p>
    <w:p w:rsidR="001D2EE5" w:rsidRPr="001D2EE5" w:rsidRDefault="001D2EE5" w:rsidP="001D2EE5">
      <w:pPr>
        <w:rPr>
          <w:rFonts w:ascii="Times New Roman" w:hAnsi="Times New Roman" w:cs="Times New Roman"/>
          <w:bCs/>
          <w:lang w:val="pl-PL"/>
        </w:rPr>
      </w:pPr>
      <w:r w:rsidRPr="001D2EE5">
        <w:rPr>
          <w:rFonts w:ascii="Times New Roman" w:hAnsi="Times New Roman" w:cs="Times New Roman"/>
          <w:bCs/>
          <w:lang w:val="pl-PL"/>
        </w:rPr>
        <w:t>umiejętność ustnego lub pisemnego przedstawienia zdobytych informacji.</w:t>
      </w:r>
      <w:r>
        <w:rPr>
          <w:rFonts w:ascii="Times New Roman" w:hAnsi="Times New Roman" w:cs="Times New Roman"/>
          <w:bCs/>
          <w:lang w:val="pl-PL"/>
        </w:rPr>
        <w:t xml:space="preserve"> </w:t>
      </w:r>
    </w:p>
    <w:p w:rsidR="001D2EE5" w:rsidRPr="008C797A" w:rsidRDefault="001D2EE5" w:rsidP="001D2EE5">
      <w:pPr>
        <w:rPr>
          <w:rFonts w:ascii="Times New Roman" w:hAnsi="Times New Roman" w:cs="Times New Roman"/>
          <w:b/>
          <w:lang w:val="pl-PL"/>
        </w:rPr>
      </w:pPr>
    </w:p>
    <w:p w:rsidR="00F24910" w:rsidRPr="008C797A" w:rsidRDefault="001D2EE5" w:rsidP="008C797A">
      <w:pPr>
        <w:jc w:val="center"/>
        <w:rPr>
          <w:rFonts w:ascii="Times New Roman" w:hAnsi="Times New Roman" w:cs="Times New Roman"/>
          <w:lang w:val="pl-PL"/>
        </w:rPr>
      </w:pPr>
      <w:r>
        <w:rPr>
          <w:rFonts w:ascii="Times New Roman" w:hAnsi="Times New Roman" w:cs="Times New Roman"/>
          <w:b/>
          <w:lang w:val="pl-PL"/>
        </w:rPr>
        <w:t xml:space="preserve">II.  </w:t>
      </w:r>
      <w:bookmarkStart w:id="0" w:name="_GoBack"/>
      <w:bookmarkEnd w:id="0"/>
      <w:r w:rsidR="00F24910" w:rsidRPr="008C797A">
        <w:rPr>
          <w:rFonts w:ascii="Times New Roman" w:hAnsi="Times New Roman" w:cs="Times New Roman"/>
          <w:b/>
          <w:lang w:val="pl-PL"/>
        </w:rPr>
        <w:t xml:space="preserve">Wymagania </w:t>
      </w:r>
      <w:r w:rsidR="008C797A">
        <w:rPr>
          <w:rFonts w:ascii="Times New Roman" w:hAnsi="Times New Roman" w:cs="Times New Roman"/>
          <w:b/>
          <w:lang w:val="pl-PL"/>
        </w:rPr>
        <w:t xml:space="preserve"> edukacyjne </w:t>
      </w:r>
      <w:r w:rsidR="00F24910" w:rsidRPr="008C797A">
        <w:rPr>
          <w:rFonts w:ascii="Times New Roman" w:hAnsi="Times New Roman" w:cs="Times New Roman"/>
          <w:b/>
          <w:lang w:val="pl-PL"/>
        </w:rPr>
        <w:t xml:space="preserve">na poszczególne oceny </w:t>
      </w:r>
    </w:p>
    <w:tbl>
      <w:tblPr>
        <w:tblW w:w="15014" w:type="dxa"/>
        <w:tblInd w:w="-485" w:type="dxa"/>
        <w:tblLayout w:type="fixed"/>
        <w:tblCellMar>
          <w:left w:w="70" w:type="dxa"/>
          <w:right w:w="70" w:type="dxa"/>
        </w:tblCellMar>
        <w:tblLook w:val="04A0" w:firstRow="1" w:lastRow="0" w:firstColumn="1" w:lastColumn="0" w:noHBand="0" w:noVBand="1"/>
      </w:tblPr>
      <w:tblGrid>
        <w:gridCol w:w="1687"/>
        <w:gridCol w:w="2269"/>
        <w:gridCol w:w="2211"/>
        <w:gridCol w:w="2212"/>
        <w:gridCol w:w="2211"/>
        <w:gridCol w:w="2212"/>
        <w:gridCol w:w="2212"/>
      </w:tblGrid>
      <w:tr w:rsidR="00F24910" w:rsidRPr="001D2EE5" w:rsidTr="00E1793C">
        <w:trPr>
          <w:trHeight w:val="345"/>
        </w:trPr>
        <w:tc>
          <w:tcPr>
            <w:tcW w:w="1687" w:type="dxa"/>
            <w:vMerge w:val="restart"/>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24910" w:rsidRPr="00F24910" w:rsidRDefault="00F24910" w:rsidP="00F24910">
            <w:pPr>
              <w:rPr>
                <w:rFonts w:ascii="Times New Roman" w:hAnsi="Times New Roman" w:cs="Times New Roman"/>
                <w:b/>
                <w:sz w:val="20"/>
                <w:szCs w:val="20"/>
                <w:lang w:val="pl-PL"/>
              </w:rPr>
            </w:pPr>
            <w:r w:rsidRPr="00F24910">
              <w:rPr>
                <w:rFonts w:ascii="Times New Roman" w:hAnsi="Times New Roman" w:cs="Times New Roman"/>
                <w:b/>
                <w:sz w:val="20"/>
                <w:szCs w:val="20"/>
                <w:lang w:val="pl-PL"/>
              </w:rPr>
              <w:t>Temat lekcji</w:t>
            </w:r>
          </w:p>
        </w:tc>
        <w:tc>
          <w:tcPr>
            <w:tcW w:w="2269" w:type="dxa"/>
            <w:vMerge w:val="restart"/>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24910" w:rsidRPr="00F24910" w:rsidRDefault="00F24910" w:rsidP="00F24910">
            <w:pPr>
              <w:rPr>
                <w:rFonts w:ascii="Times New Roman" w:hAnsi="Times New Roman" w:cs="Times New Roman"/>
                <w:b/>
                <w:sz w:val="20"/>
                <w:szCs w:val="20"/>
                <w:lang w:val="pl-PL"/>
              </w:rPr>
            </w:pPr>
            <w:r w:rsidRPr="00F24910">
              <w:rPr>
                <w:rFonts w:ascii="Times New Roman" w:hAnsi="Times New Roman" w:cs="Times New Roman"/>
                <w:b/>
                <w:sz w:val="20"/>
                <w:szCs w:val="20"/>
                <w:lang w:val="pl-PL"/>
              </w:rPr>
              <w:t>Zagadnienia</w:t>
            </w:r>
          </w:p>
        </w:tc>
        <w:tc>
          <w:tcPr>
            <w:tcW w:w="11058"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24910" w:rsidRPr="00F24910" w:rsidRDefault="00F24910" w:rsidP="00F24910">
            <w:pPr>
              <w:rPr>
                <w:rFonts w:ascii="Times New Roman" w:hAnsi="Times New Roman" w:cs="Times New Roman"/>
                <w:b/>
                <w:sz w:val="20"/>
                <w:szCs w:val="20"/>
                <w:lang w:val="pl-PL"/>
              </w:rPr>
            </w:pPr>
            <w:r w:rsidRPr="00F24910">
              <w:rPr>
                <w:rFonts w:ascii="Times New Roman" w:hAnsi="Times New Roman" w:cs="Times New Roman"/>
                <w:b/>
                <w:sz w:val="20"/>
                <w:szCs w:val="20"/>
                <w:lang w:val="pl-PL"/>
              </w:rPr>
              <w:t>Wymagania na poszczególne oceny</w:t>
            </w:r>
          </w:p>
        </w:tc>
      </w:tr>
      <w:tr w:rsidR="00F24910" w:rsidRPr="00F24910" w:rsidTr="00E1793C">
        <w:trPr>
          <w:trHeight w:val="465"/>
        </w:trPr>
        <w:tc>
          <w:tcPr>
            <w:tcW w:w="1687" w:type="dxa"/>
            <w:vMerge/>
            <w:tcBorders>
              <w:top w:val="single" w:sz="4" w:space="0" w:color="000000"/>
              <w:left w:val="single" w:sz="4" w:space="0" w:color="000000"/>
              <w:bottom w:val="single" w:sz="4" w:space="0" w:color="000000"/>
              <w:right w:val="nil"/>
            </w:tcBorders>
            <w:vAlign w:val="center"/>
            <w:hideMark/>
          </w:tcPr>
          <w:p w:rsidR="00F24910" w:rsidRPr="00F24910" w:rsidRDefault="00F24910" w:rsidP="00F24910">
            <w:pPr>
              <w:rPr>
                <w:rFonts w:ascii="Times New Roman" w:hAnsi="Times New Roman" w:cs="Times New Roman"/>
                <w:b/>
                <w:sz w:val="20"/>
                <w:szCs w:val="20"/>
                <w:lang w:val="pl-PL"/>
              </w:rPr>
            </w:pPr>
          </w:p>
        </w:tc>
        <w:tc>
          <w:tcPr>
            <w:tcW w:w="2269" w:type="dxa"/>
            <w:vMerge/>
            <w:tcBorders>
              <w:top w:val="single" w:sz="4" w:space="0" w:color="000000"/>
              <w:left w:val="single" w:sz="4" w:space="0" w:color="000000"/>
              <w:bottom w:val="single" w:sz="4" w:space="0" w:color="000000"/>
              <w:right w:val="nil"/>
            </w:tcBorders>
            <w:vAlign w:val="center"/>
            <w:hideMark/>
          </w:tcPr>
          <w:p w:rsidR="00F24910" w:rsidRPr="00F24910" w:rsidRDefault="00F24910" w:rsidP="00F24910">
            <w:pPr>
              <w:rPr>
                <w:rFonts w:ascii="Times New Roman" w:hAnsi="Times New Roman" w:cs="Times New Roman"/>
                <w:b/>
                <w:sz w:val="20"/>
                <w:szCs w:val="20"/>
                <w:lang w:val="pl-PL"/>
              </w:rPr>
            </w:pPr>
          </w:p>
        </w:tc>
        <w:tc>
          <w:tcPr>
            <w:tcW w:w="2211"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24910" w:rsidRPr="00F24910" w:rsidRDefault="00F24910" w:rsidP="00F24910">
            <w:pPr>
              <w:rPr>
                <w:rFonts w:ascii="Times New Roman" w:hAnsi="Times New Roman" w:cs="Times New Roman"/>
                <w:b/>
                <w:sz w:val="20"/>
                <w:szCs w:val="20"/>
                <w:lang w:val="pl-PL"/>
              </w:rPr>
            </w:pPr>
            <w:r w:rsidRPr="00F24910">
              <w:rPr>
                <w:rFonts w:ascii="Times New Roman" w:hAnsi="Times New Roman" w:cs="Times New Roman"/>
                <w:b/>
                <w:sz w:val="20"/>
                <w:szCs w:val="20"/>
                <w:lang w:val="pl-PL"/>
              </w:rPr>
              <w:t>Ocena dopuszczająca</w:t>
            </w:r>
          </w:p>
          <w:p w:rsidR="00F24910" w:rsidRPr="00F24910" w:rsidRDefault="00F24910" w:rsidP="00F24910">
            <w:pPr>
              <w:rPr>
                <w:rFonts w:ascii="Times New Roman" w:hAnsi="Times New Roman" w:cs="Times New Roman"/>
                <w:b/>
                <w:sz w:val="20"/>
                <w:szCs w:val="20"/>
                <w:lang w:val="pl-PL"/>
              </w:rPr>
            </w:pPr>
            <w:r w:rsidRPr="00F24910">
              <w:rPr>
                <w:rFonts w:ascii="Times New Roman" w:hAnsi="Times New Roman" w:cs="Times New Roman"/>
                <w:b/>
                <w:sz w:val="20"/>
                <w:szCs w:val="20"/>
                <w:lang w:val="pl-PL"/>
              </w:rPr>
              <w:t>Uczeń:</w:t>
            </w:r>
          </w:p>
        </w:tc>
        <w:tc>
          <w:tcPr>
            <w:tcW w:w="2212"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24910" w:rsidRPr="00F24910" w:rsidRDefault="00F24910" w:rsidP="00F24910">
            <w:pPr>
              <w:rPr>
                <w:rFonts w:ascii="Times New Roman" w:hAnsi="Times New Roman" w:cs="Times New Roman"/>
                <w:b/>
                <w:sz w:val="20"/>
                <w:szCs w:val="20"/>
                <w:lang w:val="pl-PL"/>
              </w:rPr>
            </w:pPr>
            <w:r w:rsidRPr="00F24910">
              <w:rPr>
                <w:rFonts w:ascii="Times New Roman" w:hAnsi="Times New Roman" w:cs="Times New Roman"/>
                <w:b/>
                <w:sz w:val="20"/>
                <w:szCs w:val="20"/>
                <w:lang w:val="pl-PL"/>
              </w:rPr>
              <w:t>Ocena dostateczna</w:t>
            </w:r>
          </w:p>
          <w:p w:rsidR="00F24910" w:rsidRPr="00F24910" w:rsidRDefault="00F24910" w:rsidP="00F24910">
            <w:pPr>
              <w:rPr>
                <w:rFonts w:ascii="Times New Roman" w:hAnsi="Times New Roman" w:cs="Times New Roman"/>
                <w:b/>
                <w:sz w:val="20"/>
                <w:szCs w:val="20"/>
                <w:lang w:val="pl-PL"/>
              </w:rPr>
            </w:pPr>
            <w:r w:rsidRPr="00F24910">
              <w:rPr>
                <w:rFonts w:ascii="Times New Roman" w:hAnsi="Times New Roman" w:cs="Times New Roman"/>
                <w:b/>
                <w:sz w:val="20"/>
                <w:szCs w:val="20"/>
                <w:lang w:val="pl-PL"/>
              </w:rPr>
              <w:t>Uczeń:</w:t>
            </w:r>
          </w:p>
        </w:tc>
        <w:tc>
          <w:tcPr>
            <w:tcW w:w="2211"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24910" w:rsidRPr="00F24910" w:rsidRDefault="00F24910" w:rsidP="00F24910">
            <w:pPr>
              <w:rPr>
                <w:rFonts w:ascii="Times New Roman" w:hAnsi="Times New Roman" w:cs="Times New Roman"/>
                <w:b/>
                <w:sz w:val="20"/>
                <w:szCs w:val="20"/>
                <w:lang w:val="pl-PL"/>
              </w:rPr>
            </w:pPr>
            <w:r w:rsidRPr="00F24910">
              <w:rPr>
                <w:rFonts w:ascii="Times New Roman" w:hAnsi="Times New Roman" w:cs="Times New Roman"/>
                <w:b/>
                <w:sz w:val="20"/>
                <w:szCs w:val="20"/>
                <w:lang w:val="pl-PL"/>
              </w:rPr>
              <w:t>Ocena dobra</w:t>
            </w:r>
          </w:p>
          <w:p w:rsidR="00F24910" w:rsidRPr="00F24910" w:rsidRDefault="00F24910" w:rsidP="00F24910">
            <w:pPr>
              <w:rPr>
                <w:rFonts w:ascii="Times New Roman" w:hAnsi="Times New Roman" w:cs="Times New Roman"/>
                <w:b/>
                <w:sz w:val="20"/>
                <w:szCs w:val="20"/>
                <w:lang w:val="pl-PL"/>
              </w:rPr>
            </w:pPr>
            <w:r w:rsidRPr="00F24910">
              <w:rPr>
                <w:rFonts w:ascii="Times New Roman" w:hAnsi="Times New Roman" w:cs="Times New Roman"/>
                <w:b/>
                <w:sz w:val="20"/>
                <w:szCs w:val="20"/>
                <w:lang w:val="pl-PL"/>
              </w:rPr>
              <w:t>Uczeń:</w:t>
            </w:r>
          </w:p>
        </w:tc>
        <w:tc>
          <w:tcPr>
            <w:tcW w:w="2212"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24910" w:rsidRPr="00F24910" w:rsidRDefault="00F24910" w:rsidP="00F24910">
            <w:pPr>
              <w:rPr>
                <w:rFonts w:ascii="Times New Roman" w:hAnsi="Times New Roman" w:cs="Times New Roman"/>
                <w:b/>
                <w:sz w:val="20"/>
                <w:szCs w:val="20"/>
                <w:lang w:val="pl-PL"/>
              </w:rPr>
            </w:pPr>
            <w:r w:rsidRPr="00F24910">
              <w:rPr>
                <w:rFonts w:ascii="Times New Roman" w:hAnsi="Times New Roman" w:cs="Times New Roman"/>
                <w:b/>
                <w:sz w:val="20"/>
                <w:szCs w:val="20"/>
                <w:lang w:val="pl-PL"/>
              </w:rPr>
              <w:t>Ocena bardzo dobra</w:t>
            </w:r>
          </w:p>
          <w:p w:rsidR="00F24910" w:rsidRPr="00F24910" w:rsidRDefault="00F24910" w:rsidP="00F24910">
            <w:pPr>
              <w:rPr>
                <w:rFonts w:ascii="Times New Roman" w:hAnsi="Times New Roman" w:cs="Times New Roman"/>
                <w:b/>
                <w:sz w:val="20"/>
                <w:szCs w:val="20"/>
                <w:lang w:val="pl-PL"/>
              </w:rPr>
            </w:pPr>
            <w:r w:rsidRPr="00F24910">
              <w:rPr>
                <w:rFonts w:ascii="Times New Roman" w:hAnsi="Times New Roman" w:cs="Times New Roman"/>
                <w:b/>
                <w:sz w:val="20"/>
                <w:szCs w:val="20"/>
                <w:lang w:val="pl-PL"/>
              </w:rPr>
              <w:t>Uczeń:</w:t>
            </w:r>
          </w:p>
        </w:tc>
        <w:tc>
          <w:tcPr>
            <w:tcW w:w="22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24910" w:rsidRPr="00F24910" w:rsidRDefault="00F24910" w:rsidP="00F24910">
            <w:pPr>
              <w:rPr>
                <w:rFonts w:ascii="Times New Roman" w:hAnsi="Times New Roman" w:cs="Times New Roman"/>
                <w:b/>
                <w:sz w:val="20"/>
                <w:szCs w:val="20"/>
                <w:lang w:val="pl-PL"/>
              </w:rPr>
            </w:pPr>
            <w:r w:rsidRPr="00F24910">
              <w:rPr>
                <w:rFonts w:ascii="Times New Roman" w:hAnsi="Times New Roman" w:cs="Times New Roman"/>
                <w:b/>
                <w:sz w:val="20"/>
                <w:szCs w:val="20"/>
                <w:lang w:val="pl-PL"/>
              </w:rPr>
              <w:t>Ocena celująca</w:t>
            </w:r>
          </w:p>
          <w:p w:rsidR="00F24910" w:rsidRPr="00F24910" w:rsidRDefault="00F24910" w:rsidP="00F24910">
            <w:pPr>
              <w:rPr>
                <w:rFonts w:ascii="Times New Roman" w:hAnsi="Times New Roman" w:cs="Times New Roman"/>
                <w:b/>
                <w:sz w:val="20"/>
                <w:szCs w:val="20"/>
                <w:lang w:val="pl-PL"/>
              </w:rPr>
            </w:pPr>
            <w:r w:rsidRPr="00F24910">
              <w:rPr>
                <w:rFonts w:ascii="Times New Roman" w:hAnsi="Times New Roman" w:cs="Times New Roman"/>
                <w:b/>
                <w:sz w:val="20"/>
                <w:szCs w:val="20"/>
                <w:lang w:val="pl-PL"/>
              </w:rPr>
              <w:t>Uczeń:</w:t>
            </w:r>
          </w:p>
        </w:tc>
      </w:tr>
      <w:tr w:rsidR="00F24910" w:rsidRPr="001D2EE5" w:rsidTr="00E1793C">
        <w:trPr>
          <w:trHeight w:val="340"/>
        </w:trPr>
        <w:tc>
          <w:tcPr>
            <w:tcW w:w="15014"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F24910" w:rsidRPr="00F24910" w:rsidRDefault="00F24910" w:rsidP="00F24910">
            <w:pPr>
              <w:rPr>
                <w:rFonts w:ascii="Times New Roman" w:hAnsi="Times New Roman" w:cs="Times New Roman"/>
                <w:b/>
                <w:sz w:val="20"/>
                <w:szCs w:val="20"/>
                <w:lang w:val="pl-PL"/>
              </w:rPr>
            </w:pPr>
            <w:r w:rsidRPr="00F24910">
              <w:rPr>
                <w:rFonts w:ascii="Times New Roman" w:hAnsi="Times New Roman" w:cs="Times New Roman"/>
                <w:b/>
                <w:sz w:val="20"/>
                <w:szCs w:val="20"/>
                <w:lang w:val="pl-PL"/>
              </w:rPr>
              <w:t>Rozdział I. System wiedeński w Europie</w:t>
            </w:r>
          </w:p>
        </w:tc>
      </w:tr>
      <w:tr w:rsidR="00F24910" w:rsidRPr="001D2EE5" w:rsidTr="00E1793C">
        <w:trPr>
          <w:trHeight w:val="465"/>
        </w:trPr>
        <w:tc>
          <w:tcPr>
            <w:tcW w:w="1687"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Kongres wiedeński</w:t>
            </w:r>
          </w:p>
          <w:p w:rsidR="00F24910" w:rsidRPr="00F24910" w:rsidRDefault="00F24910" w:rsidP="00F24910">
            <w:pPr>
              <w:rPr>
                <w:rFonts w:ascii="Times New Roman" w:hAnsi="Times New Roman" w:cs="Times New Roman"/>
                <w:b/>
                <w:sz w:val="20"/>
                <w:szCs w:val="20"/>
                <w:lang w:val="pl-PL"/>
              </w:rPr>
            </w:pP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Cele kongresu</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Zasady ustanowione na kongresie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Nowe granice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Święte Przymierze</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kongres wiedeński, Święte przymierze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Aleksandra I Romanowa, Fryderyka Wilhelma III Hohenzollerna, Franciszka I Habsburga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państwa decydujące na kongresie wiedeńskim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wymienia najważniejsze cechy nowego ładu ustanowionego na  kongresie wiedeńskim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państwa, które stanowiły trzon Świętego Przymierza</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zasada restauracji, zasada legitymizmu, zasada równowagi europejskiej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kongres wiedeński (X 1814 – VI 1815), zawarcie Świętego Przymierza (IX 1815)</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przestrzeni państwa, które odgrywały najważniejszą rolę </w:t>
            </w:r>
            <w:r w:rsidRPr="00F24910">
              <w:rPr>
                <w:rFonts w:ascii="Times New Roman" w:hAnsi="Times New Roman" w:cs="Times New Roman"/>
                <w:sz w:val="20"/>
                <w:szCs w:val="20"/>
                <w:lang w:val="pl-PL"/>
              </w:rPr>
              <w:lastRenderedPageBreak/>
              <w:t xml:space="preserve">podczas kongresu wiedeńskiego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Klemensa Metternicha, Charlesa Talleyranda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przedstawia cele zwołania kongresu wiedeńskiego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na czym polegał i czemu miał służyć system wiedeński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podział ziem polskich przeprowadzony na kongresie wiedeńskim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okoliczności i cele powstania Świętego Przymierza</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stosuje pojęcia</w:t>
            </w:r>
            <w:r w:rsidRPr="00F24910">
              <w:rPr>
                <w:rFonts w:ascii="Times New Roman" w:hAnsi="Times New Roman" w:cs="Times New Roman"/>
                <w:i/>
                <w:sz w:val="20"/>
                <w:szCs w:val="20"/>
                <w:lang w:val="pl-PL"/>
              </w:rPr>
              <w:t xml:space="preserve"> system wiedeński, reakcja, „koncert mocarstw”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„sto dni” Napoleona (III - VI 1815), bitwę pod Waterloo (VI 1815)</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zmiany polityczne wywołane decyzjami kongresu wiedeńskiego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identyfikuje postać Roberta Stewarta </w:t>
            </w:r>
            <w:proofErr w:type="spellStart"/>
            <w:r w:rsidRPr="00F24910">
              <w:rPr>
                <w:rFonts w:ascii="Times New Roman" w:hAnsi="Times New Roman" w:cs="Times New Roman"/>
                <w:sz w:val="20"/>
                <w:szCs w:val="20"/>
                <w:lang w:val="pl-PL"/>
              </w:rPr>
              <w:t>Castlereagha</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zasady ustalone na kongresie wiedeńskim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postanowienia kongresu wiedeńskiego w sprawie Niemiec i Włoch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zmiany na mapie politycznej Europy wywołane decyzjami kongresu wiedeńskiego</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wyjaśnia, jaki wpływ na losy Europy miały zasady polityczne ustanowione na kongresie wiedeńskim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znaczenie miało Święte Przymierze dla utrzymania porządku wiedeńskiego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dlaczego utrzymano podział </w:t>
            </w:r>
            <w:r w:rsidRPr="00F24910">
              <w:rPr>
                <w:rFonts w:ascii="Times New Roman" w:hAnsi="Times New Roman" w:cs="Times New Roman"/>
                <w:sz w:val="20"/>
                <w:szCs w:val="20"/>
                <w:lang w:val="pl-PL"/>
              </w:rPr>
              <w:lastRenderedPageBreak/>
              <w:t>polityczny Niemiec i Włoch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wpływ idei rewolucyjnych na losy Ameryki Południowej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t>
            </w: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rolę, jaką podczas obrad kongresu wiedeńskiego odegrali Klemens Metternich i Charles Talleyrand</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skutki polityczne decyzji podjętych na kongresie wiedeńskim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ocenia wpływ Świętego Przymierza na losy Europy po kongresie wiedeńskim </w:t>
            </w:r>
          </w:p>
        </w:tc>
      </w:tr>
      <w:tr w:rsidR="00F24910" w:rsidRPr="00F24910" w:rsidTr="00E1793C">
        <w:trPr>
          <w:trHeight w:val="558"/>
        </w:trPr>
        <w:tc>
          <w:tcPr>
            <w:tcW w:w="1687"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Nowy czy stary porządek w Europie?</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Przeciwko systemowi wiedeńskiemu</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Ruch odrodzenia narodowego we Włoszech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Sytuacja w państwach niemieckich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Powstanie dekabrystów</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Wyzwolenie Grecji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lastRenderedPageBreak/>
              <w:t>Rewolucja lipcowa we Francji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Niepodległość Belgii </w:t>
            </w:r>
          </w:p>
        </w:tc>
        <w:tc>
          <w:tcPr>
            <w:tcW w:w="2211"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stosuje pojęcia</w:t>
            </w:r>
            <w:r w:rsidRPr="00F24910">
              <w:rPr>
                <w:rFonts w:ascii="Times New Roman" w:hAnsi="Times New Roman" w:cs="Times New Roman"/>
                <w:i/>
                <w:sz w:val="20"/>
                <w:szCs w:val="20"/>
                <w:lang w:val="pl-PL"/>
              </w:rPr>
              <w:t xml:space="preserve"> </w:t>
            </w:r>
            <w:proofErr w:type="spellStart"/>
            <w:r w:rsidRPr="00F24910">
              <w:rPr>
                <w:rFonts w:ascii="Times New Roman" w:hAnsi="Times New Roman" w:cs="Times New Roman"/>
                <w:i/>
                <w:sz w:val="20"/>
                <w:szCs w:val="20"/>
                <w:lang w:val="pl-PL"/>
              </w:rPr>
              <w:t>risorgimento</w:t>
            </w:r>
            <w:proofErr w:type="spellEnd"/>
            <w:r w:rsidRPr="00F24910">
              <w:rPr>
                <w:rFonts w:ascii="Times New Roman" w:hAnsi="Times New Roman" w:cs="Times New Roman"/>
                <w:sz w:val="20"/>
                <w:szCs w:val="20"/>
                <w:lang w:val="pl-PL"/>
              </w:rPr>
              <w:t>,</w:t>
            </w:r>
            <w:r w:rsidRPr="00F24910">
              <w:rPr>
                <w:rFonts w:ascii="Times New Roman" w:hAnsi="Times New Roman" w:cs="Times New Roman"/>
                <w:i/>
                <w:sz w:val="20"/>
                <w:szCs w:val="20"/>
                <w:lang w:val="pl-PL"/>
              </w:rPr>
              <w:t xml:space="preserve"> karbonariusze, Młode Włochy, monarchia lipcowa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rewolucję lipcową we Francji (1830)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identyfikuje postać Ludwika Filipa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państwa, w których w latach 20. i 30. XIX w. doszło do wystąpień rewolucyjnych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kto i dlaczego buntował się przeciwko systemowi wiedeńskiemu</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stosuje pojęcia</w:t>
            </w:r>
            <w:r w:rsidRPr="00F24910">
              <w:rPr>
                <w:rFonts w:ascii="Times New Roman" w:hAnsi="Times New Roman" w:cs="Times New Roman"/>
                <w:i/>
                <w:sz w:val="20"/>
                <w:szCs w:val="20"/>
                <w:lang w:val="pl-PL"/>
              </w:rPr>
              <w:t>, dekabryści</w:t>
            </w:r>
            <w:r w:rsidRPr="00F24910">
              <w:rPr>
                <w:rFonts w:ascii="Times New Roman" w:hAnsi="Times New Roman" w:cs="Times New Roman"/>
                <w:sz w:val="20"/>
                <w:szCs w:val="20"/>
                <w:lang w:val="pl-PL"/>
              </w:rPr>
              <w:t>,</w:t>
            </w:r>
            <w:r w:rsidRPr="00F24910">
              <w:rPr>
                <w:rFonts w:ascii="Times New Roman" w:hAnsi="Times New Roman" w:cs="Times New Roman"/>
                <w:i/>
                <w:sz w:val="20"/>
                <w:szCs w:val="20"/>
                <w:lang w:val="pl-PL"/>
              </w:rPr>
              <w:t xml:space="preserve"> ruch </w:t>
            </w:r>
            <w:proofErr w:type="spellStart"/>
            <w:r w:rsidRPr="00F24910">
              <w:rPr>
                <w:rFonts w:ascii="Times New Roman" w:hAnsi="Times New Roman" w:cs="Times New Roman"/>
                <w:i/>
                <w:sz w:val="20"/>
                <w:szCs w:val="20"/>
                <w:lang w:val="pl-PL"/>
              </w:rPr>
              <w:t>filhellenistyczny</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powstanie dekabrystów (1825), powstanie niepodległej Grecji (1829)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przestrzeni kraje, w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których w latach 20. i 30. XIX w. doszło do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wystąpień rewolucyjnych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Giuseppe Mazziniego i  Mikołaja 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cele włoskiego ruchu odrodzenia narodowego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przyczyny i skutki powstania dekabrystów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przyczyny i przebieg rewolucji lipcowej we Francji</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 xml:space="preserve">ruch burszów, </w:t>
            </w:r>
            <w:r w:rsidRPr="00F24910">
              <w:rPr>
                <w:rFonts w:ascii="Times New Roman" w:hAnsi="Times New Roman" w:cs="Times New Roman"/>
                <w:sz w:val="20"/>
                <w:szCs w:val="20"/>
                <w:lang w:val="pl-PL"/>
              </w:rPr>
              <w:t xml:space="preserve">, </w:t>
            </w:r>
            <w:r w:rsidRPr="00F24910">
              <w:rPr>
                <w:rFonts w:ascii="Times New Roman" w:hAnsi="Times New Roman" w:cs="Times New Roman"/>
                <w:i/>
                <w:sz w:val="20"/>
                <w:szCs w:val="20"/>
                <w:lang w:val="pl-PL"/>
              </w:rPr>
              <w:t>Związek Północny</w:t>
            </w:r>
            <w:r w:rsidRPr="00F24910">
              <w:rPr>
                <w:rFonts w:ascii="Times New Roman" w:hAnsi="Times New Roman" w:cs="Times New Roman"/>
                <w:sz w:val="20"/>
                <w:szCs w:val="20"/>
                <w:lang w:val="pl-PL"/>
              </w:rPr>
              <w:t xml:space="preserve">, </w:t>
            </w:r>
            <w:r w:rsidRPr="00F24910">
              <w:rPr>
                <w:rFonts w:ascii="Times New Roman" w:hAnsi="Times New Roman" w:cs="Times New Roman"/>
                <w:i/>
                <w:sz w:val="20"/>
                <w:szCs w:val="20"/>
                <w:lang w:val="pl-PL"/>
              </w:rPr>
              <w:t>Związek Południowy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wybuch powstania Greków przeciwko Turcji (1821), bitwę pod Navarino (1827), </w:t>
            </w:r>
            <w:r w:rsidRPr="00F24910">
              <w:rPr>
                <w:rFonts w:ascii="Times New Roman" w:hAnsi="Times New Roman" w:cs="Times New Roman"/>
                <w:sz w:val="20"/>
                <w:szCs w:val="20"/>
                <w:lang w:val="pl-PL"/>
              </w:rPr>
              <w:lastRenderedPageBreak/>
              <w:t>powstanie belgijskie (1830)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kraje, w których doszło do interwencji armii państw Świętego Przymierza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Filipa Buonarrotiego,  Ottona </w:t>
            </w:r>
            <w:proofErr w:type="spellStart"/>
            <w:r w:rsidRPr="00F24910">
              <w:rPr>
                <w:rFonts w:ascii="Times New Roman" w:hAnsi="Times New Roman" w:cs="Times New Roman"/>
                <w:sz w:val="20"/>
                <w:szCs w:val="20"/>
                <w:lang w:val="pl-PL"/>
              </w:rPr>
              <w:t>Wittelsbacha</w:t>
            </w:r>
            <w:proofErr w:type="spellEnd"/>
            <w:r w:rsidRPr="00F24910">
              <w:rPr>
                <w:rFonts w:ascii="Times New Roman" w:hAnsi="Times New Roman" w:cs="Times New Roman"/>
                <w:sz w:val="20"/>
                <w:szCs w:val="20"/>
                <w:lang w:val="pl-PL"/>
              </w:rPr>
              <w:t xml:space="preserve">, Karola X, </w:t>
            </w:r>
            <w:proofErr w:type="spellStart"/>
            <w:r w:rsidRPr="00F24910">
              <w:rPr>
                <w:rFonts w:ascii="Times New Roman" w:hAnsi="Times New Roman" w:cs="Times New Roman"/>
                <w:sz w:val="20"/>
                <w:szCs w:val="20"/>
                <w:lang w:val="pl-PL"/>
              </w:rPr>
              <w:t>Adolphe’a</w:t>
            </w:r>
            <w:proofErr w:type="spellEnd"/>
            <w:r w:rsidRPr="00F24910">
              <w:rPr>
                <w:rFonts w:ascii="Times New Roman" w:hAnsi="Times New Roman" w:cs="Times New Roman"/>
                <w:sz w:val="20"/>
                <w:szCs w:val="20"/>
                <w:lang w:val="pl-PL"/>
              </w:rPr>
              <w:t xml:space="preserve"> Thiersa, Wilhelma I, Leopolda 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działalność włoskiego ruchu odrodzenia narodowego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walkę Belgów o niepodległość</w:t>
            </w:r>
          </w:p>
        </w:tc>
        <w:tc>
          <w:tcPr>
            <w:tcW w:w="2212"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powstanie karbonariuszy we Włoszech (1820), powstanie Związku Południowego i Związku Północnego (1821), traktat w Adrianopolu (1829), konferencję w Londynie (1831)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przedstawia, w jaki sposób europejscy </w:t>
            </w:r>
            <w:r w:rsidRPr="00F24910">
              <w:rPr>
                <w:rFonts w:ascii="Times New Roman" w:hAnsi="Times New Roman" w:cs="Times New Roman"/>
                <w:sz w:val="20"/>
                <w:szCs w:val="20"/>
                <w:lang w:val="pl-PL"/>
              </w:rPr>
              <w:lastRenderedPageBreak/>
              <w:t>rewolucjoniści w pierwszej połowie XIX w. łączyli postulaty narodowe ze społecznymi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przebieg walk o niepodległość Grecji</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z jakiego powodu europejskie mocarstwa zaangażowały się w konflikt z imperium osmańskim w sprawie greckiej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ocenia rolę państw Świętego Przymierza w tłumieniu ruchów </w:t>
            </w:r>
            <w:r w:rsidRPr="00F24910">
              <w:rPr>
                <w:rFonts w:ascii="Times New Roman" w:hAnsi="Times New Roman" w:cs="Times New Roman"/>
                <w:sz w:val="20"/>
                <w:szCs w:val="20"/>
                <w:lang w:val="pl-PL"/>
              </w:rPr>
              <w:lastRenderedPageBreak/>
              <w:t>rewolucyjnych w latach 20. i 30. XIX w.</w:t>
            </w:r>
          </w:p>
          <w:p w:rsidR="00F24910" w:rsidRPr="00F24910" w:rsidRDefault="00F24910" w:rsidP="00F24910">
            <w:pPr>
              <w:rPr>
                <w:rFonts w:ascii="Times New Roman" w:hAnsi="Times New Roman" w:cs="Times New Roman"/>
                <w:sz w:val="20"/>
                <w:szCs w:val="20"/>
                <w:lang w:val="pl-PL"/>
              </w:rPr>
            </w:pPr>
          </w:p>
        </w:tc>
      </w:tr>
      <w:tr w:rsidR="00F24910" w:rsidRPr="001D2EE5" w:rsidTr="00E1793C">
        <w:trPr>
          <w:trHeight w:val="558"/>
        </w:trPr>
        <w:tc>
          <w:tcPr>
            <w:tcW w:w="1687"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Rewolucja przemysłowa</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Od rewolucji agrarnej do industrializacji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Rewolucja przemysłowa w Europie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Rozwój komunikacji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Rewolucja przemysłowa w Stanach Zjednoczonych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Skutki rewolucji przemysłowej</w:t>
            </w:r>
          </w:p>
        </w:tc>
        <w:tc>
          <w:tcPr>
            <w:tcW w:w="2211"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rewolucja przemysłowa, proletariat</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transport zyskał w XIX w. tak duże znaczenie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najważniejsze wynalazki pierwszej połowy XIX w.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wymienia skutki rewolucji przemysłowej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industrializacja, urbanizacja, społeczeństwo industrialne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opatentowanie maszyny parowej (1769) i otwarcie pierwszej linii kolejowej (1825)</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identyfikuje postacie George’a Stephensona, Samuela Morse’a, Samuela Colta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rejony Europy, w których rewolucja przemysłowa postępowała najszybciej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rozwój komunikacji w pierwszej połowie XIX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 sposób upowszechnienie kolei zmieniło życie mieszkańców Europy</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rewolucja agrarna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pierwszy morski rejs parowca (1813) i założenie Niemieckiego Związku Celnego (1834)</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Nicolasa </w:t>
            </w:r>
            <w:proofErr w:type="spellStart"/>
            <w:r w:rsidRPr="00F24910">
              <w:rPr>
                <w:rFonts w:ascii="Times New Roman" w:hAnsi="Times New Roman" w:cs="Times New Roman"/>
                <w:sz w:val="20"/>
                <w:szCs w:val="20"/>
                <w:lang w:val="pl-PL"/>
              </w:rPr>
              <w:t>Cugnota</w:t>
            </w:r>
            <w:proofErr w:type="spellEnd"/>
            <w:r w:rsidRPr="00F24910">
              <w:rPr>
                <w:rFonts w:ascii="Times New Roman" w:hAnsi="Times New Roman" w:cs="Times New Roman"/>
                <w:sz w:val="20"/>
                <w:szCs w:val="20"/>
                <w:lang w:val="pl-PL"/>
              </w:rPr>
              <w:t xml:space="preserve">, </w:t>
            </w:r>
            <w:proofErr w:type="spellStart"/>
            <w:r w:rsidRPr="00F24910">
              <w:rPr>
                <w:rFonts w:ascii="Times New Roman" w:hAnsi="Times New Roman" w:cs="Times New Roman"/>
                <w:sz w:val="20"/>
                <w:szCs w:val="20"/>
                <w:lang w:val="pl-PL"/>
              </w:rPr>
              <w:t>Isaaca</w:t>
            </w:r>
            <w:proofErr w:type="spellEnd"/>
            <w:r w:rsidRPr="00F24910">
              <w:rPr>
                <w:rFonts w:ascii="Times New Roman" w:hAnsi="Times New Roman" w:cs="Times New Roman"/>
                <w:sz w:val="20"/>
                <w:szCs w:val="20"/>
                <w:lang w:val="pl-PL"/>
              </w:rPr>
              <w:t xml:space="preserve"> Singera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wyjaśnia związek między rewolucją agrarną i rewolucją przemysłową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 wpływ na rozwój komunikacji miało wynalezienie maszyny parowej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rozwój gospodarczy i przemiany w Stanach Zjednoczonych w czasie rewolucji przemysłowej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luddyści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wystąpienia luddystów (1811–1813)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postać </w:t>
            </w:r>
            <w:proofErr w:type="spellStart"/>
            <w:r w:rsidRPr="00F24910">
              <w:rPr>
                <w:rFonts w:ascii="Times New Roman" w:hAnsi="Times New Roman" w:cs="Times New Roman"/>
                <w:sz w:val="20"/>
                <w:szCs w:val="20"/>
                <w:lang w:val="pl-PL"/>
              </w:rPr>
              <w:t>Neda</w:t>
            </w:r>
            <w:proofErr w:type="spellEnd"/>
            <w:r w:rsidRPr="00F24910">
              <w:rPr>
                <w:rFonts w:ascii="Times New Roman" w:hAnsi="Times New Roman" w:cs="Times New Roman"/>
                <w:sz w:val="20"/>
                <w:szCs w:val="20"/>
                <w:lang w:val="pl-PL"/>
              </w:rPr>
              <w:t xml:space="preserve"> </w:t>
            </w:r>
            <w:proofErr w:type="spellStart"/>
            <w:r w:rsidRPr="00F24910">
              <w:rPr>
                <w:rFonts w:ascii="Times New Roman" w:hAnsi="Times New Roman" w:cs="Times New Roman"/>
                <w:sz w:val="20"/>
                <w:szCs w:val="20"/>
                <w:lang w:val="pl-PL"/>
              </w:rPr>
              <w:t>Ludda</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wpływ eksplozji demograficznej na przemiany w rolnictwie i przemyśle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wyjaśnia, dlaczego rewolucja przemysłowa wzbudziła ogromny sprzeciw społeczny</w:t>
            </w:r>
          </w:p>
        </w:tc>
        <w:tc>
          <w:tcPr>
            <w:tcW w:w="2212"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skutki rewolucji przemysłowej wskazując przyniesione przez nią korzyści i straty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wynalazki i odkrycia, które miały wpływ na rozwój kolei</w:t>
            </w:r>
          </w:p>
          <w:p w:rsidR="00F24910" w:rsidRPr="00F24910" w:rsidRDefault="00F24910" w:rsidP="00F24910">
            <w:pPr>
              <w:rPr>
                <w:rFonts w:ascii="Times New Roman" w:hAnsi="Times New Roman" w:cs="Times New Roman"/>
                <w:sz w:val="20"/>
                <w:szCs w:val="20"/>
                <w:lang w:val="pl-PL"/>
              </w:rPr>
            </w:pPr>
          </w:p>
        </w:tc>
      </w:tr>
      <w:tr w:rsidR="00F24910" w:rsidRPr="001D2EE5" w:rsidTr="00E1793C">
        <w:trPr>
          <w:trHeight w:val="683"/>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Nowe idee </w:t>
            </w:r>
            <w:r w:rsidRPr="00F24910">
              <w:rPr>
                <w:rFonts w:ascii="Times New Roman" w:hAnsi="Times New Roman" w:cs="Times New Roman"/>
                <w:sz w:val="20"/>
                <w:szCs w:val="20"/>
                <w:lang w:val="pl-PL"/>
              </w:rPr>
              <w:br/>
              <w:t>polityczne</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Narodziny nowych nurtów politycznych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Wolność i równość</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Przeciwko rewolucjom</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Początki ruchu robotniczego</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Początki socjalizmu</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Na drodze do rewolucji proletariackiej</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stosuje pojęcia</w:t>
            </w:r>
            <w:r w:rsidRPr="00F24910">
              <w:rPr>
                <w:rFonts w:ascii="Times New Roman" w:hAnsi="Times New Roman" w:cs="Times New Roman"/>
                <w:i/>
                <w:sz w:val="20"/>
                <w:szCs w:val="20"/>
                <w:lang w:val="pl-PL"/>
              </w:rPr>
              <w:t xml:space="preserve"> konserwatyzm, liberalizm,  socjalizm, komunizm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Adama </w:t>
            </w:r>
            <w:proofErr w:type="spellStart"/>
            <w:r w:rsidRPr="00F24910">
              <w:rPr>
                <w:rFonts w:ascii="Times New Roman" w:hAnsi="Times New Roman" w:cs="Times New Roman"/>
                <w:sz w:val="20"/>
                <w:szCs w:val="20"/>
                <w:lang w:val="pl-PL"/>
              </w:rPr>
              <w:t>Smitha</w:t>
            </w:r>
            <w:proofErr w:type="spellEnd"/>
            <w:r w:rsidRPr="00F24910">
              <w:rPr>
                <w:rFonts w:ascii="Times New Roman" w:hAnsi="Times New Roman" w:cs="Times New Roman"/>
                <w:sz w:val="20"/>
                <w:szCs w:val="20"/>
                <w:lang w:val="pl-PL"/>
              </w:rPr>
              <w:t xml:space="preserve">, Edmunda </w:t>
            </w:r>
            <w:proofErr w:type="spellStart"/>
            <w:r w:rsidRPr="00F24910">
              <w:rPr>
                <w:rFonts w:ascii="Times New Roman" w:hAnsi="Times New Roman" w:cs="Times New Roman"/>
                <w:sz w:val="20"/>
                <w:szCs w:val="20"/>
                <w:lang w:val="pl-PL"/>
              </w:rPr>
              <w:t>Burke’a</w:t>
            </w:r>
            <w:proofErr w:type="spellEnd"/>
            <w:r w:rsidRPr="00F24910">
              <w:rPr>
                <w:rFonts w:ascii="Times New Roman" w:hAnsi="Times New Roman" w:cs="Times New Roman"/>
                <w:sz w:val="20"/>
                <w:szCs w:val="20"/>
                <w:lang w:val="pl-PL"/>
              </w:rPr>
              <w:t>, Karola Marksa, Fryderyka Engelsa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idee polityczne, które zdobyły popularność w pierwszej połowie XIX w.</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auto"/>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burżuazja, socjalizm utopijny, związek zawodowy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ogłoszenie </w:t>
            </w:r>
            <w:r w:rsidRPr="00F24910">
              <w:rPr>
                <w:rFonts w:ascii="Times New Roman" w:hAnsi="Times New Roman" w:cs="Times New Roman"/>
                <w:i/>
                <w:sz w:val="20"/>
                <w:szCs w:val="20"/>
                <w:lang w:val="pl-PL"/>
              </w:rPr>
              <w:t>Manifestu komunistycznego</w:t>
            </w:r>
            <w:r w:rsidRPr="00F24910">
              <w:rPr>
                <w:rFonts w:ascii="Times New Roman" w:hAnsi="Times New Roman" w:cs="Times New Roman"/>
                <w:sz w:val="20"/>
                <w:szCs w:val="20"/>
                <w:lang w:val="pl-PL"/>
              </w:rPr>
              <w:t xml:space="preserve"> (1848)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Johna Stuarta Milla,  Henri de Saint-Simona, Charles’a Fouriera, Roberta Owena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założenia liberalizmu, </w:t>
            </w:r>
            <w:r w:rsidRPr="00F24910">
              <w:rPr>
                <w:rFonts w:ascii="Times New Roman" w:hAnsi="Times New Roman" w:cs="Times New Roman"/>
                <w:sz w:val="20"/>
                <w:szCs w:val="20"/>
                <w:lang w:val="pl-PL"/>
              </w:rPr>
              <w:lastRenderedPageBreak/>
              <w:t>konserwatyzmu, socjalizmu i komunizmu</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konserwatyści byli przeciwni gwałtownym zmianom politycznym i społecznym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położenie klasy robotniczej i jego wpływ na rozwój ruchu robotniczego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cele, jakie stawiały przed sobą związki zawodowe</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auto"/>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utylitaryzm, czartyści</w:t>
            </w:r>
            <w:r w:rsidRPr="00F24910">
              <w:rPr>
                <w:rFonts w:ascii="Times New Roman" w:hAnsi="Times New Roman" w:cs="Times New Roman"/>
                <w:sz w:val="20"/>
                <w:szCs w:val="20"/>
                <w:lang w:val="pl-PL"/>
              </w:rPr>
              <w:t xml:space="preserv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Françoisa Chateaubrianda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powstanie pierwszych związków zawodowych (1824), działalność czartystów w Anglii (1836-1848)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które grupy społeczne mogły być zainteresowane realizacją postulatów </w:t>
            </w:r>
            <w:r w:rsidRPr="00F24910">
              <w:rPr>
                <w:rFonts w:ascii="Times New Roman" w:hAnsi="Times New Roman" w:cs="Times New Roman"/>
                <w:sz w:val="20"/>
                <w:szCs w:val="20"/>
                <w:lang w:val="pl-PL"/>
              </w:rPr>
              <w:lastRenderedPageBreak/>
              <w:t>konserwatystów, liberałów oraz socjalistów i komunistów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okoliczności, w jakich narodził się ruch robotniczy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postulaty socjalizmu utopijnego i wyjaśnia, dlaczego były one niemożliwe do zrealizowania</w:t>
            </w:r>
          </w:p>
        </w:tc>
        <w:tc>
          <w:tcPr>
            <w:tcW w:w="2212" w:type="dxa"/>
            <w:tcBorders>
              <w:top w:val="single" w:sz="4" w:space="0" w:color="auto"/>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falanster</w:t>
            </w:r>
            <w:r w:rsidRPr="00F24910">
              <w:rPr>
                <w:rFonts w:ascii="Times New Roman" w:hAnsi="Times New Roman" w:cs="Times New Roman"/>
                <w:sz w:val="20"/>
                <w:szCs w:val="20"/>
                <w:lang w:val="pl-PL"/>
              </w:rPr>
              <w:t xml:space="preserv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Josepha de </w:t>
            </w:r>
            <w:proofErr w:type="spellStart"/>
            <w:r w:rsidRPr="00F24910">
              <w:rPr>
                <w:rFonts w:ascii="Times New Roman" w:hAnsi="Times New Roman" w:cs="Times New Roman"/>
                <w:sz w:val="20"/>
                <w:szCs w:val="20"/>
                <w:lang w:val="pl-PL"/>
              </w:rPr>
              <w:t>Maistre’a</w:t>
            </w:r>
            <w:proofErr w:type="spellEnd"/>
            <w:r w:rsidRPr="00F24910">
              <w:rPr>
                <w:rFonts w:ascii="Times New Roman" w:hAnsi="Times New Roman" w:cs="Times New Roman"/>
                <w:sz w:val="20"/>
                <w:szCs w:val="20"/>
                <w:lang w:val="pl-PL"/>
              </w:rPr>
              <w:t xml:space="preserve">, Louisa de </w:t>
            </w:r>
            <w:proofErr w:type="spellStart"/>
            <w:r w:rsidRPr="00F24910">
              <w:rPr>
                <w:rFonts w:ascii="Times New Roman" w:hAnsi="Times New Roman" w:cs="Times New Roman"/>
                <w:sz w:val="20"/>
                <w:szCs w:val="20"/>
                <w:lang w:val="pl-PL"/>
              </w:rPr>
              <w:t>Bonalda</w:t>
            </w:r>
            <w:proofErr w:type="spellEnd"/>
            <w:r w:rsidRPr="00F24910">
              <w:rPr>
                <w:rFonts w:ascii="Times New Roman" w:hAnsi="Times New Roman" w:cs="Times New Roman"/>
                <w:sz w:val="20"/>
                <w:szCs w:val="20"/>
                <w:lang w:val="pl-PL"/>
              </w:rPr>
              <w:t xml:space="preserv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czym różniły się propozycje dotyczące sprawy robotniczej wysuwane przez związki zawodowe, czartystów i komunistów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przedstawia cele i skutki działalności czartystów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przedstawia powody, dla których konserwatyści krytykowali rewolucje i zmiany społeczne wprowadzane w pierwszej połowie XIX w.</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auto"/>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skutki społeczne i polityczne, jakie wywołało pojawienie się nowych idei politycznych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wpływ działalności związków zawodowych i ruchów politycznych na sytuację społeczną grup pozbawionych wpływu na losy państwa</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Wiosna Ludów</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Geneza Wiosny Ludów</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Od rewolucji lipcowej do cesarstwa we Francji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Rewolucja wiedeńska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Powstanie węgierskie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Wiosna Ludów w Prusach i krajach niemieckich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Wiosna Ludów w państwach włoskich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Skutki Wiosny Ludów</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Udział Polaków we Wiośnie Ludów</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 xml:space="preserve">Wiosna Ludów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Wiosnę Ludów (1848-1849)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państwa, w których doszło do wystąpień Wiosny Ludów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Ludwika Napoleona Bonaparte (Napoleona III), Franciszka Józefa I, Józefa Bema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przyczyny Wiosny Ludów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skutki Wiosny Ludów</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rewolucję w Paryżu (II 1848), wybuch rewolucji w Wiedniu (III 1848), wybuch rewolucji w Berlinie (III 1848), wybuch Wiosny Ludów w państwach włoskich (III 1848), ogłoszenie cesarstwa we Francji (1852)</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Lajosa Kossutha, Iwana </w:t>
            </w:r>
            <w:proofErr w:type="spellStart"/>
            <w:r w:rsidRPr="00F24910">
              <w:rPr>
                <w:rFonts w:ascii="Times New Roman" w:hAnsi="Times New Roman" w:cs="Times New Roman"/>
                <w:sz w:val="20"/>
                <w:szCs w:val="20"/>
                <w:lang w:val="pl-PL"/>
              </w:rPr>
              <w:t>Paskiewicza</w:t>
            </w:r>
            <w:proofErr w:type="spellEnd"/>
            <w:r w:rsidRPr="00F24910">
              <w:rPr>
                <w:rFonts w:ascii="Times New Roman" w:hAnsi="Times New Roman" w:cs="Times New Roman"/>
                <w:sz w:val="20"/>
                <w:szCs w:val="20"/>
                <w:lang w:val="pl-PL"/>
              </w:rPr>
              <w:t xml:space="preserve">, Giuseppe Mazziniego, Ludwika </w:t>
            </w:r>
            <w:r w:rsidRPr="00F24910">
              <w:rPr>
                <w:rFonts w:ascii="Times New Roman" w:hAnsi="Times New Roman" w:cs="Times New Roman"/>
                <w:sz w:val="20"/>
                <w:szCs w:val="20"/>
                <w:lang w:val="pl-PL"/>
              </w:rPr>
              <w:lastRenderedPageBreak/>
              <w:t>Mierosławskiego, Adama Mickiewicza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kraje europejskie, w których Wiosna Ludów przyniosła trwałe zmiany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przyczyny, przebieg i skutki Wiosny Ludów we Francji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które z wystąpień Wiosny Ludów były rewolucjami społecznymi, a które ruchami zjednoczeniowymi lub powstaniami narodowymi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przebieg i skutki Wiosny Ludów w Austrii i na Węgrzech</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powstanie węgierskie (III 1848 – X 1849), działalność parlamentu frankfurckiego (V 1848 – V 1849), wybranie Ludwika Napoleona Bonaparte prezydentem Francji (XII 1848), wybuch Wiosny Ludów w Państwie Kościelnym (II 1849), zamach stanu we Francji (1851)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Ludwika Filipa, </w:t>
            </w:r>
            <w:r w:rsidRPr="00F24910">
              <w:rPr>
                <w:rFonts w:ascii="Times New Roman" w:hAnsi="Times New Roman" w:cs="Times New Roman"/>
                <w:sz w:val="20"/>
                <w:szCs w:val="20"/>
                <w:lang w:val="pl-PL"/>
              </w:rPr>
              <w:lastRenderedPageBreak/>
              <w:t>Ferdynanda I Habsburga, Fryderyka Wilhelma IV</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Wiosna Ludów we Francji nie przyniosła oczekiwanych rezultatów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powstanie węgierskie w czasie Wiosny Ludów poniosło klęskę</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rolę parlamentu frankfurckiego w czasie Wiosny Ludów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opisuje przebieg i skutki Wiosny Ludów w państwach włoskich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przebieg i skutki Wiosny Ludów w Prusach</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zarazę ziemniaczaną w Europie (1845-1847), bitwę pod </w:t>
            </w:r>
            <w:proofErr w:type="spellStart"/>
            <w:r w:rsidRPr="00F24910">
              <w:rPr>
                <w:rFonts w:ascii="Times New Roman" w:hAnsi="Times New Roman" w:cs="Times New Roman"/>
                <w:sz w:val="20"/>
                <w:szCs w:val="20"/>
                <w:lang w:val="pl-PL"/>
              </w:rPr>
              <w:t>Custozzą</w:t>
            </w:r>
            <w:proofErr w:type="spellEnd"/>
            <w:r w:rsidRPr="00F24910">
              <w:rPr>
                <w:rFonts w:ascii="Times New Roman" w:hAnsi="Times New Roman" w:cs="Times New Roman"/>
                <w:sz w:val="20"/>
                <w:szCs w:val="20"/>
                <w:lang w:val="pl-PL"/>
              </w:rPr>
              <w:t xml:space="preserve"> (1848), objęcia tronu przez Franciszka Józefa I (XII 1848), bitwę pod Novarą (1849)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Henryka Dembińskiego, Wojciecha Chrzanowskiego, Józefa Wysockiego, Franciszka </w:t>
            </w:r>
            <w:proofErr w:type="spellStart"/>
            <w:r w:rsidRPr="00F24910">
              <w:rPr>
                <w:rFonts w:ascii="Times New Roman" w:hAnsi="Times New Roman" w:cs="Times New Roman"/>
                <w:sz w:val="20"/>
                <w:szCs w:val="20"/>
                <w:lang w:val="pl-PL"/>
              </w:rPr>
              <w:t>Sznajde</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przedstawia, jak zmieniała się sytuacja </w:t>
            </w:r>
            <w:r w:rsidRPr="00F24910">
              <w:rPr>
                <w:rFonts w:ascii="Times New Roman" w:hAnsi="Times New Roman" w:cs="Times New Roman"/>
                <w:sz w:val="20"/>
                <w:szCs w:val="20"/>
                <w:lang w:val="pl-PL"/>
              </w:rPr>
              <w:lastRenderedPageBreak/>
              <w:t>polityczna we Francji podczas Wiosny Ludów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na czym polegała postępowość reform II Republiki Francuskiej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udział Polaków w europejskiej Wiośnie Ludów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idee zjednoczenia Niemiec i Włoch w czasie Wiosny Ludów nie doczekały się realizacji</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które z przyczyn wybuchu Wiosny Ludów były wynikiem działań ówczesnych władców europejskich, a na które nie mieli oni żadnego wpływu</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oceń trwałość reform i zmian ustrojowych wprowadzonych w czasie Wiosny Ludów</w:t>
            </w:r>
          </w:p>
        </w:tc>
      </w:tr>
      <w:tr w:rsidR="00F24910" w:rsidRPr="001D2EE5" w:rsidTr="00E1793C">
        <w:trPr>
          <w:trHeight w:val="340"/>
        </w:trPr>
        <w:tc>
          <w:tcPr>
            <w:tcW w:w="15014"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b/>
                <w:sz w:val="20"/>
                <w:szCs w:val="20"/>
                <w:lang w:val="pl-PL"/>
              </w:rPr>
              <w:t>Rozdział II. Ziemie polskie w pierwszej połowie XIX stulecia</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System wiedeński na ziemiach polskich</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Nowy podział ziem polskich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Zabór pruski po kongresie wiedeńskim</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Sytuacja społeczna i gospodarcza w zaborze pruskim</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lastRenderedPageBreak/>
              <w:t>Galicja i Rzeczpospolita Krakowska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Ziemie zabrane</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 xml:space="preserve"> Rzeczpospolita Krakowska, Wielkie Księstwo Poznańskie, Królestwo Polskie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przestrzeni podział ziem polskich na kongresie wiedeńskim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decyzje kongresu wiedeńskiego w sprawie polskiej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germanizacja, uwłaszczenie ziemie zabrane, reforma regulacyjna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uwłaszczenie chłopów w zaborze pruskim (1816–1823), zniesienie </w:t>
            </w:r>
            <w:r w:rsidRPr="00F24910">
              <w:rPr>
                <w:rFonts w:ascii="Times New Roman" w:hAnsi="Times New Roman" w:cs="Times New Roman"/>
                <w:sz w:val="20"/>
                <w:szCs w:val="20"/>
                <w:lang w:val="pl-PL"/>
              </w:rPr>
              <w:lastRenderedPageBreak/>
              <w:t>pańszczyzny w Galicji (1848)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Aleksandra I, Franciszka I, Wilhelma III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 sposób funkcjonowała ograniczona autonomia w Wielkim Księstwie Poznańskim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sposób zarzadzania Galicją</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sejm prowincjonalny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nadanie konstytucji Rzeczypospolitej Krakowskiej (1818)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identyfikuje postacie Antoniego Radziwiłła, Edwarda </w:t>
            </w:r>
            <w:proofErr w:type="spellStart"/>
            <w:r w:rsidRPr="00F24910">
              <w:rPr>
                <w:rFonts w:ascii="Times New Roman" w:hAnsi="Times New Roman" w:cs="Times New Roman"/>
                <w:sz w:val="20"/>
                <w:szCs w:val="20"/>
                <w:lang w:val="pl-PL"/>
              </w:rPr>
              <w:t>Flotwella</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przedstawia sytuację społeczną w zaborze rosyjskim,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pruskim i austriackim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co było przyczyną konfliktu miedzy szlachtą i chłopami w Galicji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ustrój Rzeczypospolitej Krakowskiej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sytuację Polaków na ziemiach zabranych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proces uwłaszczenia chłopów w zaborze pruskim</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porównuje rozwój gospodarczy ziem polskich pod zaborem pruskim i austriackim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porównuje sytuację poszczególnych grup społeczeństwa polskiego </w:t>
            </w:r>
            <w:r w:rsidRPr="00F24910">
              <w:rPr>
                <w:rFonts w:ascii="Times New Roman" w:hAnsi="Times New Roman" w:cs="Times New Roman"/>
                <w:sz w:val="20"/>
                <w:szCs w:val="20"/>
                <w:lang w:val="pl-PL"/>
              </w:rPr>
              <w:lastRenderedPageBreak/>
              <w:t>pod zaborem pruskim i austriackim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czy ustrój Rzeczypospolitej Krakowskiej sprzyjał rozwojowi kultury polskiej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w którym zaborze sytuacja Polaków wyglądała najkorzystniej pod względem swobód politycznych</w:t>
            </w:r>
          </w:p>
        </w:tc>
      </w:tr>
      <w:tr w:rsidR="00F24910" w:rsidRPr="001D2EE5" w:rsidTr="00E1793C">
        <w:trPr>
          <w:trHeight w:val="274"/>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Królestwo </w:t>
            </w:r>
            <w:r w:rsidRPr="00F24910">
              <w:rPr>
                <w:rFonts w:ascii="Times New Roman" w:hAnsi="Times New Roman" w:cs="Times New Roman"/>
                <w:sz w:val="20"/>
                <w:szCs w:val="20"/>
                <w:lang w:val="pl-PL"/>
              </w:rPr>
              <w:br/>
              <w:t>Polskie</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Ustrój Królestwa Polskiego </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Sytuacja społeczna i gospodarcza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Działalność legalnej opozycji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Pierwsze spiski</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opozycja legalna, opozycja nielegalna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nadanie konstytucji Królestwu Polskiemu (1815)</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identyfikuje postacie Aleksandra I, Konstantego Romanowa i Adama Jerzego Czartoryskiego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najważniejsze zagłębia przemysłowe w Królestwie Polskim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najważniejsze organizacje spiskowe działające w Królestwie Polskim</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kaliszanie, cenzura prewencyjna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powstanie Wolnomularstwa Narodowego (1819), </w:t>
            </w:r>
            <w:r w:rsidRPr="00F24910">
              <w:rPr>
                <w:rFonts w:ascii="Times New Roman" w:hAnsi="Times New Roman" w:cs="Times New Roman"/>
                <w:sz w:val="20"/>
                <w:szCs w:val="20"/>
                <w:lang w:val="pl-PL"/>
              </w:rPr>
              <w:lastRenderedPageBreak/>
              <w:t>powstanie Towarzystwa Patriotycznego (1821)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Mikołaja I, Franciszka Ksawerego </w:t>
            </w:r>
            <w:proofErr w:type="spellStart"/>
            <w:r w:rsidRPr="00F24910">
              <w:rPr>
                <w:rFonts w:ascii="Times New Roman" w:hAnsi="Times New Roman" w:cs="Times New Roman"/>
                <w:sz w:val="20"/>
                <w:szCs w:val="20"/>
                <w:lang w:val="pl-PL"/>
              </w:rPr>
              <w:t>Druckiego-Lubeckiego</w:t>
            </w:r>
            <w:proofErr w:type="spellEnd"/>
            <w:r w:rsidRPr="00F24910">
              <w:rPr>
                <w:rFonts w:ascii="Times New Roman" w:hAnsi="Times New Roman" w:cs="Times New Roman"/>
                <w:sz w:val="20"/>
                <w:szCs w:val="20"/>
                <w:lang w:val="pl-PL"/>
              </w:rPr>
              <w:t>, Adama Mickiewicza i Józefa Zajączka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ustrój Królestwa Polskiego ustanowiony w konstytucji z 1815 r.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instytucje, które według konstytucji z 1815 r. sprawowały w Królestwie Polskim władzę ustawodawczą, wykonawczą i sądowniczą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reformy Franciszka Ksawerego </w:t>
            </w:r>
            <w:proofErr w:type="spellStart"/>
            <w:r w:rsidRPr="00F24910">
              <w:rPr>
                <w:rFonts w:ascii="Times New Roman" w:hAnsi="Times New Roman" w:cs="Times New Roman"/>
                <w:sz w:val="20"/>
                <w:szCs w:val="20"/>
                <w:lang w:val="pl-PL"/>
              </w:rPr>
              <w:t>Druckiego-Lubeckiego</w:t>
            </w:r>
            <w:proofErr w:type="spellEnd"/>
            <w:r w:rsidRPr="00F24910">
              <w:rPr>
                <w:rFonts w:ascii="Times New Roman" w:hAnsi="Times New Roman" w:cs="Times New Roman"/>
                <w:sz w:val="20"/>
                <w:szCs w:val="20"/>
                <w:lang w:val="pl-PL"/>
              </w:rPr>
              <w:t xml:space="preserve"> i ich skutki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cele, jakie stawiała sobie opozycja legalna i nielegalna w Królestwie Polskim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co odróżniało opozycję legalną i nielegalną w Królestwie Polskim</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powstanie Towarzystwa Kredytowego Ziemskiego (1825), powstanie Banku Polskiego (1828)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Wincentego i Bonawentury </w:t>
            </w:r>
            <w:proofErr w:type="spellStart"/>
            <w:r w:rsidRPr="00F24910">
              <w:rPr>
                <w:rFonts w:ascii="Times New Roman" w:hAnsi="Times New Roman" w:cs="Times New Roman"/>
                <w:sz w:val="20"/>
                <w:szCs w:val="20"/>
                <w:lang w:val="pl-PL"/>
              </w:rPr>
              <w:lastRenderedPageBreak/>
              <w:t>Niemojowskich</w:t>
            </w:r>
            <w:proofErr w:type="spellEnd"/>
            <w:r w:rsidRPr="00F24910">
              <w:rPr>
                <w:rFonts w:ascii="Times New Roman" w:hAnsi="Times New Roman" w:cs="Times New Roman"/>
                <w:sz w:val="20"/>
                <w:szCs w:val="20"/>
                <w:lang w:val="pl-PL"/>
              </w:rPr>
              <w:t>, Waleriana Łukasińskiego, Seweryna Krzyżanowskiego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konstytucja Królestwa Polskiego należała do najbardziej liberalnych ustaw zasadniczych w Europie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rozwój rolnictwa i przemysłu w Królestwie Polskim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kto należał do opozycji legalnej w Królestwie Polskim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działalność opozycji nielegalnej w Królestwie Polskim</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działalności Towarzystwa Filomatów (1817-1823)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Tomasza Zana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opisuje, jak zmieniały się nastroje Polaków </w:t>
            </w:r>
            <w:r w:rsidRPr="00F24910">
              <w:rPr>
                <w:rFonts w:ascii="Times New Roman" w:hAnsi="Times New Roman" w:cs="Times New Roman"/>
                <w:sz w:val="20"/>
                <w:szCs w:val="20"/>
                <w:lang w:val="pl-PL"/>
              </w:rPr>
              <w:lastRenderedPageBreak/>
              <w:t>względem carskiego panowania w Królestwie Polskim oraz wyjaśnia, czym te zmiany były spowodowane</w:t>
            </w: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jakie korzyści, a jakie problemy mogło przynieść Królestwu Polskiemu położenie na pograniczu trzech mocarstw</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Powstanie listopadowe</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Noc listopadowa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Co dalej z powstaniem?</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Wojna z Rosją</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Powstanie poza Królestwem Polskim</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Międzynarodowa reakcja na powstanie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Następstwa powstania listopadowego</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noc listopadowa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wybuch powstania listopadowego (29 XI 1830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 Piotra Wysockiego i Józefa Chłopickiego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przyczyny wybuchu powstania listopadowego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represje, jakie spadły na Polaków w Królestwie Polskim po klęsce powstania listopadowego</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 xml:space="preserve">noc </w:t>
            </w:r>
            <w:proofErr w:type="spellStart"/>
            <w:r w:rsidRPr="00F24910">
              <w:rPr>
                <w:rFonts w:ascii="Times New Roman" w:hAnsi="Times New Roman" w:cs="Times New Roman"/>
                <w:i/>
                <w:sz w:val="20"/>
                <w:szCs w:val="20"/>
                <w:lang w:val="pl-PL"/>
              </w:rPr>
              <w:t>paskiewiczowska</w:t>
            </w:r>
            <w:proofErr w:type="spellEnd"/>
            <w:r w:rsidRPr="00F24910">
              <w:rPr>
                <w:rFonts w:ascii="Times New Roman" w:hAnsi="Times New Roman" w:cs="Times New Roman"/>
                <w:i/>
                <w:sz w:val="20"/>
                <w:szCs w:val="20"/>
                <w:lang w:val="pl-PL"/>
              </w:rPr>
              <w:t>, katorga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powstanie Sprzysiężenia Podchorążych (1828), uznanie przez sejm powstania listopadowego za narodowe (18 XII 1830), ), detronizację Mikołaja I (25 I 1831) wprowadzenie Statutu Organicznego (1832),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i przestrzeni bitwę pod Grochowem (25 II 1831), bitwę pod Ostrołęką (26 V 1831), obronę Warszawy (6-8 IX 1831)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Mikołaja I, Konstantego Romanowa, Adama Jerzego Czartoryskiego, Jana Skrzyneckiego, Jana Krukowieckiego, Iwana </w:t>
            </w:r>
            <w:proofErr w:type="spellStart"/>
            <w:r w:rsidRPr="00F24910">
              <w:rPr>
                <w:rFonts w:ascii="Times New Roman" w:hAnsi="Times New Roman" w:cs="Times New Roman"/>
                <w:sz w:val="20"/>
                <w:szCs w:val="20"/>
                <w:lang w:val="pl-PL"/>
              </w:rPr>
              <w:t>Paskiewicz</w:t>
            </w:r>
            <w:proofErr w:type="spellEnd"/>
            <w:r w:rsidRPr="00F24910">
              <w:rPr>
                <w:rFonts w:ascii="Times New Roman" w:hAnsi="Times New Roman" w:cs="Times New Roman"/>
                <w:sz w:val="20"/>
                <w:szCs w:val="20"/>
                <w:lang w:val="pl-PL"/>
              </w:rPr>
              <w:t xml:space="preserv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sytuację w Królestwie Polskim przed wybuchem powstania listopadowego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opisuje wydarzenia nocy listopadowej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znaczenie dla przebiegu wojny z Rosją miały bitwy pod Grochowem i Ostrołęką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jakie znaczenie dla powstania listopadowego miały obrona i kapitulacja Warszawy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przykłady polityki rusyfikacyjnej po powstaniu listopadowym</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ogłoszenie Józefa Chłopickiego dyktatorem powstania (5 XII 1830), wybuch wojny z Rosją (II 1831), wprowadzenie stanu wojennego (1833)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i przestrzeni bitwy pod Stoczkiem i Dobrem (II 1831), bitwy pod Warem i Dębem Wielkim (III 1831), bitwę pod </w:t>
            </w:r>
            <w:proofErr w:type="spellStart"/>
            <w:r w:rsidRPr="00F24910">
              <w:rPr>
                <w:rFonts w:ascii="Times New Roman" w:hAnsi="Times New Roman" w:cs="Times New Roman"/>
                <w:sz w:val="20"/>
                <w:szCs w:val="20"/>
                <w:lang w:val="pl-PL"/>
              </w:rPr>
              <w:t>Iganiami</w:t>
            </w:r>
            <w:proofErr w:type="spellEnd"/>
            <w:r w:rsidRPr="00F24910">
              <w:rPr>
                <w:rFonts w:ascii="Times New Roman" w:hAnsi="Times New Roman" w:cs="Times New Roman"/>
                <w:sz w:val="20"/>
                <w:szCs w:val="20"/>
                <w:lang w:val="pl-PL"/>
              </w:rPr>
              <w:t xml:space="preserve"> (IV 1831)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Maurycego Mochnackiego, Joachima Lelewela, Iwana </w:t>
            </w:r>
            <w:proofErr w:type="spellStart"/>
            <w:r w:rsidRPr="00F24910">
              <w:rPr>
                <w:rFonts w:ascii="Times New Roman" w:hAnsi="Times New Roman" w:cs="Times New Roman"/>
                <w:sz w:val="20"/>
                <w:szCs w:val="20"/>
                <w:lang w:val="pl-PL"/>
              </w:rPr>
              <w:t>Dybicza</w:t>
            </w:r>
            <w:proofErr w:type="spellEnd"/>
            <w:r w:rsidRPr="00F24910">
              <w:rPr>
                <w:rFonts w:ascii="Times New Roman" w:hAnsi="Times New Roman" w:cs="Times New Roman"/>
                <w:sz w:val="20"/>
                <w:szCs w:val="20"/>
                <w:lang w:val="pl-PL"/>
              </w:rPr>
              <w:t xml:space="preserve">, Ignacego Prądzyńskiego, Józefa Dwernickiego, Emilii Plater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postawy społeczeństwa polskiego wobec wybuchu powstania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przebieg wojny z Rosją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przedstawia przebieg powstania listopadowego </w:t>
            </w:r>
            <w:r w:rsidRPr="00F24910">
              <w:rPr>
                <w:rFonts w:ascii="Times New Roman" w:hAnsi="Times New Roman" w:cs="Times New Roman"/>
                <w:sz w:val="20"/>
                <w:szCs w:val="20"/>
                <w:lang w:val="pl-PL"/>
              </w:rPr>
              <w:lastRenderedPageBreak/>
              <w:t>poza granicami Królestwa Polskiego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reakcje państw europejskich na wybuch powstania listopadowego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polityczne następstwa wydania Statutu Organicznego</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likwidację polskiego podziału administracyjnego (1837), wprowadzenie rosyjskiego kodeksu karnego (1847)</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Michała Radziwiłła i Konstantego Ordona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rolę sejmu w powstaniu listopadowym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działania Rządu Narodowego w czasie wojny polsko-rosyjskiej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skutki klęski powstania listopadowego dla mieszkańców ziem zabranych oraz zaborów pruskiego i austriackiego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chłopi w niewielkim stopniu poparli zryw powstańczy</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postawę przywódców powstania wobec problemu kontynuowania walki z zaborcą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wpływ decyzji sejmu na przebieg powstania listopadowego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międzynarodową reakcję na powstanie listopadowe</w:t>
            </w:r>
          </w:p>
          <w:p w:rsidR="00F24910" w:rsidRPr="00F24910" w:rsidRDefault="00F24910" w:rsidP="00F24910">
            <w:pPr>
              <w:rPr>
                <w:rFonts w:ascii="Times New Roman" w:hAnsi="Times New Roman" w:cs="Times New Roman"/>
                <w:sz w:val="20"/>
                <w:szCs w:val="20"/>
                <w:lang w:val="pl-PL"/>
              </w:rPr>
            </w:pP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Wielka Emigracja i konspiracja w kraju</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Polska na wygnaniu</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Stronnictwa polityczne Wielkiej Emigracji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Działalność spiskowa w kraju</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Wielka Emigracja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powstanie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Adama Jerzego Czartoryskiego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polską emigrację po powstaniu listopadowym nazwano wielką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wymienia stronnictwa polityczne Wielkiej Emigracji</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 xml:space="preserve">emisariusz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powstanie </w:t>
            </w:r>
            <w:proofErr w:type="spellStart"/>
            <w:r w:rsidRPr="00F24910">
              <w:rPr>
                <w:rFonts w:ascii="Times New Roman" w:hAnsi="Times New Roman" w:cs="Times New Roman"/>
                <w:sz w:val="20"/>
                <w:szCs w:val="20"/>
                <w:lang w:val="pl-PL"/>
              </w:rPr>
              <w:t>Hôtelu</w:t>
            </w:r>
            <w:proofErr w:type="spellEnd"/>
            <w:r w:rsidRPr="00F24910">
              <w:rPr>
                <w:rFonts w:ascii="Times New Roman" w:hAnsi="Times New Roman" w:cs="Times New Roman"/>
                <w:sz w:val="20"/>
                <w:szCs w:val="20"/>
                <w:lang w:val="pl-PL"/>
              </w:rPr>
              <w:t xml:space="preserve"> Lambert (1831), Komitetu Narodowego Polskiego (1831), powstanie Towarzystwa Demokratycznego Polskiego (1832)</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założenie Gromad Ludu Polskiego (1835),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przestrzeni kierunku emigracji </w:t>
            </w:r>
            <w:r w:rsidRPr="00F24910">
              <w:rPr>
                <w:rFonts w:ascii="Times New Roman" w:hAnsi="Times New Roman" w:cs="Times New Roman"/>
                <w:sz w:val="20"/>
                <w:szCs w:val="20"/>
                <w:lang w:val="pl-PL"/>
              </w:rPr>
              <w:lastRenderedPageBreak/>
              <w:t>polskiej w latach 1831–1832</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Joachima Lelewela, Tadeusza Krępowieckiego, Szymona Konarskiego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programy organizacji politycznych Wielkiej Emigracji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 sposób organizacje na emigracji utrzymywały kontakt z Polakami pod zaborami</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ogłoszenie </w:t>
            </w:r>
            <w:r w:rsidRPr="00F24910">
              <w:rPr>
                <w:rFonts w:ascii="Times New Roman" w:hAnsi="Times New Roman" w:cs="Times New Roman"/>
                <w:i/>
                <w:sz w:val="20"/>
                <w:szCs w:val="20"/>
                <w:lang w:val="pl-PL"/>
              </w:rPr>
              <w:t>Wielkiego manifestu</w:t>
            </w:r>
            <w:r w:rsidRPr="00F24910">
              <w:rPr>
                <w:rFonts w:ascii="Times New Roman" w:hAnsi="Times New Roman" w:cs="Times New Roman"/>
                <w:sz w:val="20"/>
                <w:szCs w:val="20"/>
                <w:lang w:val="pl-PL"/>
              </w:rPr>
              <w:t xml:space="preserve"> Towarzystwa Demokratycznego Polskiego (1836)</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Wiktora </w:t>
            </w:r>
            <w:proofErr w:type="spellStart"/>
            <w:r w:rsidRPr="00F24910">
              <w:rPr>
                <w:rFonts w:ascii="Times New Roman" w:hAnsi="Times New Roman" w:cs="Times New Roman"/>
                <w:sz w:val="20"/>
                <w:szCs w:val="20"/>
                <w:lang w:val="pl-PL"/>
              </w:rPr>
              <w:t>Heltmana</w:t>
            </w:r>
            <w:proofErr w:type="spellEnd"/>
            <w:r w:rsidRPr="00F24910">
              <w:rPr>
                <w:rFonts w:ascii="Times New Roman" w:hAnsi="Times New Roman" w:cs="Times New Roman"/>
                <w:sz w:val="20"/>
                <w:szCs w:val="20"/>
                <w:lang w:val="pl-PL"/>
              </w:rPr>
              <w:t>, Karola Libelta, Walentego Stefańskiego, Henryka Kamieńskiego, Edwarda Dembowskiego, Piotra Ściegiennego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opisuje sytuację Polaków, którzy zdecydowali się na </w:t>
            </w:r>
            <w:r w:rsidRPr="00F24910">
              <w:rPr>
                <w:rFonts w:ascii="Times New Roman" w:hAnsi="Times New Roman" w:cs="Times New Roman"/>
                <w:sz w:val="20"/>
                <w:szCs w:val="20"/>
                <w:lang w:val="pl-PL"/>
              </w:rPr>
              <w:lastRenderedPageBreak/>
              <w:t>emigrację po powstaniu listopadowym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mieszkańcy Królestwa Polskiego niechętnie odnosili się do działań spiskowych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organizacje spiskowe wskazując obszar ich działania</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utworzenie Komitetu Narodowego Emigracji Polskiej (1832), powstanie Młodej Polski (1834), założenie Stowarzyszenia Ludu Polskiego (1835), powstanie Związku Narodu Polskiego (1839), powstania Związku Chłopskiego (1840-1844), utworzenie Związku Plebejuszy (1842), powołanie </w:t>
            </w:r>
            <w:r w:rsidRPr="00F24910">
              <w:rPr>
                <w:rFonts w:ascii="Times New Roman" w:hAnsi="Times New Roman" w:cs="Times New Roman"/>
                <w:sz w:val="20"/>
                <w:szCs w:val="20"/>
                <w:lang w:val="pl-PL"/>
              </w:rPr>
              <w:lastRenderedPageBreak/>
              <w:t xml:space="preserve">Centralizacji Poznańskiej (1844)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Stanisława Worcella, Seweryna Goszczyńskiego, Karola </w:t>
            </w:r>
            <w:proofErr w:type="spellStart"/>
            <w:r w:rsidRPr="00F24910">
              <w:rPr>
                <w:rFonts w:ascii="Times New Roman" w:hAnsi="Times New Roman" w:cs="Times New Roman"/>
                <w:sz w:val="20"/>
                <w:szCs w:val="20"/>
                <w:lang w:val="pl-PL"/>
              </w:rPr>
              <w:t>Levittoux</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dlaczego inaczej traktowały polskich emigrantów narody, a inaczej rządy państw Europy </w:t>
            </w:r>
            <w:r w:rsidRPr="00F24910">
              <w:rPr>
                <w:rFonts w:ascii="Times New Roman" w:hAnsi="Times New Roman" w:cs="Times New Roman"/>
                <w:sz w:val="20"/>
                <w:szCs w:val="20"/>
                <w:lang w:val="pl-PL"/>
              </w:rPr>
              <w:br/>
              <w:t>Zachodniej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porównuje  programy organizacji politycznych Wielkiej Emigracji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 sposób starano się upowszechnić sprawę narodową w najniższych warstwach społeczeństwa polskiego pod zaborami</w:t>
            </w: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znaczenie Wielkiej Emigracji dla podtrzymania walki o niepodległość Polski</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Wiosna Ludów na ziemiach polskich</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Rabacja galicyjska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Powstanie krakowskie 1846</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Wiosna Ludów </w:t>
            </w:r>
            <w:r w:rsidRPr="00F24910">
              <w:rPr>
                <w:rFonts w:ascii="Times New Roman" w:hAnsi="Times New Roman" w:cs="Times New Roman"/>
                <w:iCs/>
                <w:sz w:val="20"/>
                <w:szCs w:val="20"/>
                <w:lang w:val="pl-PL"/>
              </w:rPr>
              <w:br/>
              <w:t>w Wielkopolsce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Wiosna Ludów </w:t>
            </w:r>
            <w:r w:rsidRPr="00F24910">
              <w:rPr>
                <w:rFonts w:ascii="Times New Roman" w:hAnsi="Times New Roman" w:cs="Times New Roman"/>
                <w:iCs/>
                <w:sz w:val="20"/>
                <w:szCs w:val="20"/>
                <w:lang w:val="pl-PL"/>
              </w:rPr>
              <w:br/>
              <w:t>w Galicji</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sz w:val="20"/>
                <w:szCs w:val="20"/>
                <w:lang w:val="pl-PL"/>
              </w:rPr>
              <w:br/>
            </w:r>
            <w:r w:rsidRPr="00F24910">
              <w:rPr>
                <w:rFonts w:ascii="Times New Roman" w:hAnsi="Times New Roman" w:cs="Times New Roman"/>
                <w:i/>
                <w:sz w:val="20"/>
                <w:szCs w:val="20"/>
                <w:lang w:val="pl-PL"/>
              </w:rPr>
              <w:t>rabacja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początek Wiosny Ludów w Wielkopolsce (III 1848)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i przestrzeni rabację galicyjską (II-III 1846)</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identyfikuje postać Jakuba Szeli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jakich okolicznościach doszło do rabacji galicyjskiej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skutki Wiosny Ludów w Galicji</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powstanie krakowskie (II 1846), likwidację Rzeczypospolitej Krakowskiej (XI 1846)</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Edwarda Dembowskiego, Ludwika Mierosławskiego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przebieg i skutki powstania krakowskiego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przebieg Wiosny Ludów w zaborze pruskim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przebieg Wiosny Ludów w zaborze austriackim</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serwituty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ugodę w Jarosławcu (IV 1848), kapitulację sił polskich w Wielkopolsce (V 1848), zniesienie pańszczyzny w Galicji (IV 1848)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identyfikuje postacie Jana </w:t>
            </w:r>
            <w:proofErr w:type="spellStart"/>
            <w:r w:rsidRPr="00F24910">
              <w:rPr>
                <w:rFonts w:ascii="Times New Roman" w:hAnsi="Times New Roman" w:cs="Times New Roman"/>
                <w:sz w:val="20"/>
                <w:szCs w:val="20"/>
                <w:lang w:val="pl-PL"/>
              </w:rPr>
              <w:t>Tyssowskiego</w:t>
            </w:r>
            <w:proofErr w:type="spellEnd"/>
            <w:r w:rsidRPr="00F24910">
              <w:rPr>
                <w:rFonts w:ascii="Times New Roman" w:hAnsi="Times New Roman" w:cs="Times New Roman"/>
                <w:sz w:val="20"/>
                <w:szCs w:val="20"/>
                <w:lang w:val="pl-PL"/>
              </w:rPr>
              <w:t xml:space="preserve">, Fryderyka Colomba, Franza von </w:t>
            </w:r>
            <w:proofErr w:type="spellStart"/>
            <w:r w:rsidRPr="00F24910">
              <w:rPr>
                <w:rFonts w:ascii="Times New Roman" w:hAnsi="Times New Roman" w:cs="Times New Roman"/>
                <w:sz w:val="20"/>
                <w:szCs w:val="20"/>
                <w:lang w:val="pl-PL"/>
              </w:rPr>
              <w:t>Stadiona</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plany powstańcze przygotowywane przy współudziale emisariuszy TDP</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wystąpienia Wiosny Ludów w Poznańskiem poniosły klęskę</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pacyfikację Lwowa przez Austriaków (XI 1848)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i przestrzeni bitwę pod Miłosławiem (IV 1848), bitwę pod Sokołowem (V 1848)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identyfikuje postacie Leona Przyłuskiego, Wacława Zaleskiego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planowane na 1846 r. polskie powstanie narodowe w trzech zaborach miało w praktyce bardzo ograniczony zasięg</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wpływ Wiosny Ludów na kształtowanie się świadomości narodowej Polaków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i przestrzeni powstanie chochołowskie</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lang w:val="pl-PL"/>
              </w:rPr>
            </w:pPr>
            <w:r w:rsidRPr="00F24910">
              <w:rPr>
                <w:lang w:val="pl-PL"/>
              </w:rPr>
              <w:t>Kultura polskiego romantyzmu</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iCs/>
                <w:lang w:val="pl-PL"/>
              </w:rPr>
            </w:pPr>
            <w:r w:rsidRPr="00F24910">
              <w:rPr>
                <w:iCs/>
                <w:lang w:val="pl-PL"/>
              </w:rPr>
              <w:t>Polski romantyzm</w:t>
            </w:r>
          </w:p>
          <w:p w:rsidR="00F24910" w:rsidRPr="00F24910" w:rsidRDefault="00F24910" w:rsidP="00F24910">
            <w:pPr>
              <w:rPr>
                <w:iCs/>
                <w:lang w:val="pl-PL"/>
              </w:rPr>
            </w:pPr>
            <w:r w:rsidRPr="00F24910">
              <w:rPr>
                <w:iCs/>
                <w:lang w:val="pl-PL"/>
              </w:rPr>
              <w:t>Romantyzm w Europie</w:t>
            </w:r>
          </w:p>
          <w:p w:rsidR="00F24910" w:rsidRPr="00F24910" w:rsidRDefault="00F24910" w:rsidP="00F24910">
            <w:pPr>
              <w:rPr>
                <w:iCs/>
                <w:lang w:val="pl-PL"/>
              </w:rPr>
            </w:pPr>
            <w:r w:rsidRPr="00F24910">
              <w:rPr>
                <w:iCs/>
                <w:lang w:val="pl-PL"/>
              </w:rPr>
              <w:t>Polska nauka i oświata w pierwszej połowie XIX wieku</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i/>
                <w:lang w:val="pl-PL"/>
              </w:rPr>
            </w:pPr>
            <w:r w:rsidRPr="00F24910">
              <w:rPr>
                <w:lang w:val="pl-PL"/>
              </w:rPr>
              <w:t xml:space="preserve">- stosuje pojęcie </w:t>
            </w:r>
            <w:r w:rsidRPr="00F24910">
              <w:rPr>
                <w:i/>
                <w:lang w:val="pl-PL"/>
              </w:rPr>
              <w:t>romantyzm</w:t>
            </w:r>
          </w:p>
          <w:p w:rsidR="00F24910" w:rsidRPr="00F24910" w:rsidRDefault="00F24910" w:rsidP="00F24910">
            <w:pPr>
              <w:rPr>
                <w:lang w:val="pl-PL"/>
              </w:rPr>
            </w:pPr>
            <w:r w:rsidRPr="00F24910">
              <w:rPr>
                <w:lang w:val="pl-PL"/>
              </w:rPr>
              <w:t xml:space="preserve">- identyfikuje postacie Adama Mickiewicza, Juliusza Słowackiego, Zygmunta Krasińskiego, Fryderyka Chopina </w:t>
            </w:r>
          </w:p>
          <w:p w:rsidR="00F24910" w:rsidRPr="00F24910" w:rsidRDefault="00F24910" w:rsidP="00F24910">
            <w:pPr>
              <w:rPr>
                <w:lang w:val="pl-PL"/>
              </w:rPr>
            </w:pPr>
            <w:r w:rsidRPr="00F24910">
              <w:rPr>
                <w:lang w:val="pl-PL"/>
              </w:rPr>
              <w:t>- wymienia cechy romantyzmu</w:t>
            </w:r>
          </w:p>
          <w:p w:rsidR="00F24910" w:rsidRPr="00F24910" w:rsidRDefault="00F24910" w:rsidP="00F24910">
            <w:pPr>
              <w:rPr>
                <w:lang w:val="pl-PL"/>
              </w:rPr>
            </w:pPr>
            <w:r w:rsidRPr="00F24910">
              <w:rPr>
                <w:lang w:val="pl-PL"/>
              </w:rPr>
              <w:t xml:space="preserve">- wyjaśnia, jakie wartości były najważniejsze dla </w:t>
            </w:r>
            <w:r w:rsidRPr="00F24910">
              <w:rPr>
                <w:lang w:val="pl-PL"/>
              </w:rPr>
              <w:lastRenderedPageBreak/>
              <w:t>twórców okresu romantyzmu</w:t>
            </w:r>
          </w:p>
          <w:p w:rsidR="00F24910" w:rsidRPr="00F24910" w:rsidRDefault="00F24910" w:rsidP="00F24910">
            <w:pPr>
              <w:rPr>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i/>
                <w:lang w:val="pl-PL"/>
              </w:rPr>
            </w:pPr>
            <w:r w:rsidRPr="00F24910">
              <w:rPr>
                <w:lang w:val="pl-PL"/>
              </w:rPr>
              <w:lastRenderedPageBreak/>
              <w:t xml:space="preserve">- stosuje pojęcie </w:t>
            </w:r>
            <w:r w:rsidRPr="00F24910">
              <w:rPr>
                <w:i/>
                <w:lang w:val="pl-PL"/>
              </w:rPr>
              <w:t>wieszcz</w:t>
            </w:r>
          </w:p>
          <w:p w:rsidR="00F24910" w:rsidRPr="00F24910" w:rsidRDefault="00F24910" w:rsidP="00F24910">
            <w:pPr>
              <w:rPr>
                <w:lang w:val="pl-PL"/>
              </w:rPr>
            </w:pPr>
            <w:r w:rsidRPr="00F24910">
              <w:rPr>
                <w:lang w:val="pl-PL"/>
              </w:rPr>
              <w:t xml:space="preserve">- lokalizuje w czasie publikację </w:t>
            </w:r>
            <w:r w:rsidRPr="00F24910">
              <w:rPr>
                <w:i/>
                <w:lang w:val="pl-PL"/>
              </w:rPr>
              <w:t>Ballad i romansów</w:t>
            </w:r>
            <w:r w:rsidRPr="00F24910">
              <w:rPr>
                <w:lang w:val="pl-PL"/>
              </w:rPr>
              <w:t xml:space="preserve"> Mickiewicza (1822)</w:t>
            </w:r>
          </w:p>
          <w:p w:rsidR="00F24910" w:rsidRPr="00F24910" w:rsidRDefault="00F24910" w:rsidP="00F24910">
            <w:pPr>
              <w:rPr>
                <w:lang w:val="pl-PL"/>
              </w:rPr>
            </w:pPr>
            <w:r w:rsidRPr="00F24910">
              <w:rPr>
                <w:lang w:val="pl-PL"/>
              </w:rPr>
              <w:t xml:space="preserve">- identyfikuje postacie Cypriana Norwida, Aleksandra Fredry, Józefa Ignacego Kraszewskiego, Stanisława Moniuszki, Johanna Wolfganga Goethego, Ludwiga van Beethovena, </w:t>
            </w:r>
            <w:r w:rsidRPr="00F24910">
              <w:rPr>
                <w:lang w:val="pl-PL"/>
              </w:rPr>
              <w:lastRenderedPageBreak/>
              <w:t xml:space="preserve">Adama Jerzego Czartoryskiego </w:t>
            </w:r>
          </w:p>
          <w:p w:rsidR="00F24910" w:rsidRPr="00F24910" w:rsidRDefault="00F24910" w:rsidP="00F24910">
            <w:pPr>
              <w:rPr>
                <w:lang w:val="pl-PL"/>
              </w:rPr>
            </w:pPr>
            <w:r w:rsidRPr="00F24910">
              <w:rPr>
                <w:lang w:val="pl-PL"/>
              </w:rPr>
              <w:t>- wyjaśnia, dlaczego romantyzm był reakcją na klasycyzm</w:t>
            </w:r>
          </w:p>
          <w:p w:rsidR="00F24910" w:rsidRPr="00F24910" w:rsidRDefault="00F24910" w:rsidP="00F24910">
            <w:pPr>
              <w:rPr>
                <w:lang w:val="pl-PL"/>
              </w:rPr>
            </w:pPr>
            <w:r w:rsidRPr="00F24910">
              <w:rPr>
                <w:lang w:val="pl-PL"/>
              </w:rPr>
              <w:t>- omawia osiągniecia polskiej literatury romantycznej</w:t>
            </w:r>
          </w:p>
          <w:p w:rsidR="00F24910" w:rsidRPr="00F24910" w:rsidRDefault="00F24910" w:rsidP="00F24910">
            <w:pPr>
              <w:rPr>
                <w:lang w:val="pl-PL"/>
              </w:rPr>
            </w:pPr>
            <w:r w:rsidRPr="00F24910">
              <w:rPr>
                <w:lang w:val="pl-PL"/>
              </w:rPr>
              <w:t>- wymienia instytucje polskiego życia kulturalnego i oświatowego na ziemiach polskich w pierwszej połowie XIX w.</w:t>
            </w:r>
          </w:p>
          <w:p w:rsidR="00F24910" w:rsidRPr="00F24910" w:rsidRDefault="00F24910" w:rsidP="00F24910">
            <w:pPr>
              <w:rPr>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i/>
                <w:lang w:val="pl-PL"/>
              </w:rPr>
            </w:pPr>
            <w:r w:rsidRPr="00F24910">
              <w:rPr>
                <w:lang w:val="pl-PL"/>
              </w:rPr>
              <w:lastRenderedPageBreak/>
              <w:t>- stosuje pojęcie</w:t>
            </w:r>
            <w:r w:rsidRPr="00F24910">
              <w:rPr>
                <w:i/>
                <w:lang w:val="pl-PL"/>
              </w:rPr>
              <w:t xml:space="preserve"> </w:t>
            </w:r>
            <w:r w:rsidRPr="00F24910">
              <w:rPr>
                <w:i/>
                <w:lang w:val="pl-PL"/>
              </w:rPr>
              <w:br/>
              <w:t>mesjanizm</w:t>
            </w:r>
          </w:p>
          <w:p w:rsidR="00F24910" w:rsidRPr="00F24910" w:rsidRDefault="00F24910" w:rsidP="00F24910">
            <w:pPr>
              <w:rPr>
                <w:lang w:val="pl-PL"/>
              </w:rPr>
            </w:pPr>
            <w:r w:rsidRPr="00F24910">
              <w:rPr>
                <w:lang w:val="pl-PL"/>
              </w:rPr>
              <w:t>- lokalizuje w czasie utworzenie Uniwersytetu Warszawskiego (1816), wprowadzenie obowiązku szkolnego w zaborze pruskim (1825)</w:t>
            </w:r>
          </w:p>
          <w:p w:rsidR="00F24910" w:rsidRPr="00F24910" w:rsidRDefault="00F24910" w:rsidP="00F24910">
            <w:pPr>
              <w:rPr>
                <w:lang w:val="pl-PL"/>
              </w:rPr>
            </w:pPr>
            <w:r w:rsidRPr="00F24910">
              <w:rPr>
                <w:lang w:val="pl-PL"/>
              </w:rPr>
              <w:t xml:space="preserve">- identyfikuje postacie Piotra Michałowskiego, Artura Grottgera, Andrzeja Towiańskiego </w:t>
            </w:r>
            <w:r w:rsidRPr="00F24910">
              <w:rPr>
                <w:lang w:val="pl-PL"/>
              </w:rPr>
              <w:lastRenderedPageBreak/>
              <w:t>Friedricha Schillera, Stanisława Staszica, Juliana Ursyna Niemcewicza, Samuela Bogumiła Lindego</w:t>
            </w:r>
          </w:p>
          <w:p w:rsidR="00F24910" w:rsidRPr="00F24910" w:rsidRDefault="00F24910" w:rsidP="00F24910">
            <w:pPr>
              <w:rPr>
                <w:lang w:val="pl-PL"/>
              </w:rPr>
            </w:pPr>
            <w:r w:rsidRPr="00F24910">
              <w:rPr>
                <w:lang w:val="pl-PL"/>
              </w:rPr>
              <w:t>- wyjaśnia, jaką rolę odegrał mesjanizm w kształtowaniu się polskiej świadomości narodowej</w:t>
            </w:r>
          </w:p>
          <w:p w:rsidR="00F24910" w:rsidRPr="00F24910" w:rsidRDefault="00F24910" w:rsidP="00F24910">
            <w:pPr>
              <w:rPr>
                <w:lang w:val="pl-PL"/>
              </w:rPr>
            </w:pPr>
            <w:r w:rsidRPr="00F24910">
              <w:rPr>
                <w:lang w:val="pl-PL"/>
              </w:rPr>
              <w:t>- przedstawia rolę Królestwa Polskiego jako centrum życia kulturalnego i oświatowego na ziemiach polskich w latach 1815-1830</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lang w:val="pl-PL"/>
              </w:rPr>
            </w:pPr>
            <w:r w:rsidRPr="00F24910">
              <w:rPr>
                <w:lang w:val="pl-PL"/>
              </w:rPr>
              <w:lastRenderedPageBreak/>
              <w:t>- lokalizuje w czasie ufundowanie Zakładu Narodowego im. Ossolińskich we Lwowie (1817)</w:t>
            </w:r>
          </w:p>
          <w:p w:rsidR="00F24910" w:rsidRPr="00F24910" w:rsidRDefault="00F24910" w:rsidP="00F24910">
            <w:pPr>
              <w:rPr>
                <w:lang w:val="pl-PL"/>
              </w:rPr>
            </w:pPr>
            <w:r w:rsidRPr="00F24910">
              <w:rPr>
                <w:lang w:val="pl-PL"/>
              </w:rPr>
              <w:t xml:space="preserve">- identyfikuje postacie Seweryna Goszczyńskiego, , Roberta Burnsa, </w:t>
            </w:r>
            <w:proofErr w:type="spellStart"/>
            <w:r w:rsidRPr="00F24910">
              <w:rPr>
                <w:lang w:val="pl-PL"/>
              </w:rPr>
              <w:t>Théodore’a</w:t>
            </w:r>
            <w:proofErr w:type="spellEnd"/>
            <w:r w:rsidRPr="00F24910">
              <w:rPr>
                <w:lang w:val="pl-PL"/>
              </w:rPr>
              <w:t xml:space="preserve"> </w:t>
            </w:r>
            <w:proofErr w:type="spellStart"/>
            <w:r w:rsidRPr="00F24910">
              <w:rPr>
                <w:lang w:val="pl-PL"/>
              </w:rPr>
              <w:t>Géricault</w:t>
            </w:r>
            <w:proofErr w:type="spellEnd"/>
            <w:r w:rsidRPr="00F24910">
              <w:rPr>
                <w:lang w:val="pl-PL"/>
              </w:rPr>
              <w:t xml:space="preserve">, Stanisława Kostki Potockiego, Tadeusza Czackiego, Józefa Maksymiliana Ossolińskiego </w:t>
            </w:r>
          </w:p>
          <w:p w:rsidR="00F24910" w:rsidRPr="00F24910" w:rsidRDefault="00F24910" w:rsidP="00F24910">
            <w:pPr>
              <w:rPr>
                <w:lang w:val="pl-PL"/>
              </w:rPr>
            </w:pPr>
            <w:r w:rsidRPr="00F24910">
              <w:rPr>
                <w:lang w:val="pl-PL"/>
              </w:rPr>
              <w:lastRenderedPageBreak/>
              <w:t>- porównuje sytuację kultury i oświaty polskiej w poszczególnych zaborach w pierwszej połowie XIX w.</w:t>
            </w: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lang w:val="pl-PL"/>
              </w:rPr>
            </w:pPr>
            <w:r w:rsidRPr="00F24910">
              <w:rPr>
                <w:lang w:val="pl-PL"/>
              </w:rPr>
              <w:lastRenderedPageBreak/>
              <w:t>- ocenia rolę romantyzmu w kształtowaniu się polskiej świadomości narodowej</w:t>
            </w:r>
          </w:p>
          <w:p w:rsidR="00F24910" w:rsidRPr="00F24910" w:rsidRDefault="00F24910" w:rsidP="00F24910">
            <w:pPr>
              <w:rPr>
                <w:lang w:val="pl-PL"/>
              </w:rPr>
            </w:pPr>
          </w:p>
        </w:tc>
      </w:tr>
      <w:tr w:rsidR="00F24910" w:rsidRPr="001D2EE5" w:rsidTr="00E1793C">
        <w:trPr>
          <w:trHeight w:val="340"/>
        </w:trPr>
        <w:tc>
          <w:tcPr>
            <w:tcW w:w="15014"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F24910" w:rsidRPr="00F24910" w:rsidRDefault="00F24910" w:rsidP="00F24910">
            <w:pPr>
              <w:rPr>
                <w:lang w:val="pl-PL"/>
              </w:rPr>
            </w:pPr>
            <w:r w:rsidRPr="00F24910">
              <w:rPr>
                <w:b/>
                <w:lang w:val="pl-PL"/>
              </w:rPr>
              <w:t xml:space="preserve">Rozdział III. </w:t>
            </w:r>
            <w:r w:rsidRPr="00F24910">
              <w:rPr>
                <w:b/>
                <w:bCs/>
                <w:lang w:val="pl-PL"/>
              </w:rPr>
              <w:t>Europa i świat w drugiej połowie XIX wieku</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lang w:val="pl-PL"/>
              </w:rPr>
            </w:pPr>
            <w:r w:rsidRPr="00F24910">
              <w:rPr>
                <w:lang w:val="pl-PL"/>
              </w:rPr>
              <w:t>Od wojny krymskiej do zjednoczenia Włoch</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iCs/>
                <w:lang w:val="pl-PL"/>
              </w:rPr>
            </w:pPr>
            <w:r w:rsidRPr="00F24910">
              <w:rPr>
                <w:iCs/>
                <w:lang w:val="pl-PL"/>
              </w:rPr>
              <w:t>Wojna krymska i jej następstwa</w:t>
            </w:r>
          </w:p>
          <w:p w:rsidR="00F24910" w:rsidRPr="00F24910" w:rsidRDefault="00F24910" w:rsidP="00F24910">
            <w:pPr>
              <w:rPr>
                <w:iCs/>
                <w:lang w:val="pl-PL"/>
              </w:rPr>
            </w:pPr>
            <w:r w:rsidRPr="00F24910">
              <w:rPr>
                <w:iCs/>
                <w:lang w:val="pl-PL"/>
              </w:rPr>
              <w:t>Początki jednoczenia Włoch</w:t>
            </w:r>
          </w:p>
          <w:p w:rsidR="00F24910" w:rsidRPr="00F24910" w:rsidRDefault="00F24910" w:rsidP="00F24910">
            <w:pPr>
              <w:rPr>
                <w:iCs/>
                <w:lang w:val="pl-PL"/>
              </w:rPr>
            </w:pPr>
            <w:r w:rsidRPr="00F24910">
              <w:rPr>
                <w:iCs/>
                <w:lang w:val="pl-PL"/>
              </w:rPr>
              <w:t>Zjednoczenie Włoch</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lang w:val="pl-PL"/>
              </w:rPr>
            </w:pPr>
            <w:r w:rsidRPr="00F24910">
              <w:rPr>
                <w:lang w:val="pl-PL"/>
              </w:rPr>
              <w:t xml:space="preserve">- lokalizuje w czasie wojnę krymską (1853-1856) </w:t>
            </w:r>
            <w:proofErr w:type="spellStart"/>
            <w:r w:rsidRPr="00F24910">
              <w:rPr>
                <w:lang w:val="pl-PL"/>
              </w:rPr>
              <w:t>ipowstanie</w:t>
            </w:r>
            <w:proofErr w:type="spellEnd"/>
            <w:r w:rsidRPr="00F24910">
              <w:rPr>
                <w:lang w:val="pl-PL"/>
              </w:rPr>
              <w:t xml:space="preserve"> Królestwa Włoch (1861)</w:t>
            </w:r>
          </w:p>
          <w:p w:rsidR="00F24910" w:rsidRPr="00F24910" w:rsidRDefault="00F24910" w:rsidP="00F24910">
            <w:pPr>
              <w:rPr>
                <w:lang w:val="pl-PL"/>
              </w:rPr>
            </w:pPr>
            <w:r w:rsidRPr="00F24910">
              <w:rPr>
                <w:lang w:val="pl-PL"/>
              </w:rPr>
              <w:t>- identyfikuje postać Giuseppe Garibaldiego i Wiktora Emanuela II</w:t>
            </w:r>
          </w:p>
          <w:p w:rsidR="00F24910" w:rsidRPr="00F24910" w:rsidRDefault="00F24910" w:rsidP="00F24910">
            <w:pPr>
              <w:rPr>
                <w:lang w:val="pl-PL"/>
              </w:rPr>
            </w:pPr>
            <w:r w:rsidRPr="00F24910">
              <w:rPr>
                <w:lang w:val="pl-PL"/>
              </w:rPr>
              <w:lastRenderedPageBreak/>
              <w:t>- wymienia przyczyny i skutki wojny krymskiej</w:t>
            </w:r>
          </w:p>
          <w:p w:rsidR="00F24910" w:rsidRPr="00F24910" w:rsidRDefault="00F24910" w:rsidP="00F24910">
            <w:pPr>
              <w:rPr>
                <w:lang w:val="pl-PL"/>
              </w:rPr>
            </w:pPr>
            <w:r w:rsidRPr="00F24910">
              <w:rPr>
                <w:lang w:val="pl-PL"/>
              </w:rPr>
              <w:t>- wymienia główne etapy jednoczenia Włoch</w:t>
            </w:r>
          </w:p>
          <w:p w:rsidR="00F24910" w:rsidRPr="00F24910" w:rsidRDefault="00F24910" w:rsidP="00F24910">
            <w:pPr>
              <w:rPr>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lang w:val="pl-PL"/>
              </w:rPr>
            </w:pPr>
            <w:r w:rsidRPr="00F24910">
              <w:rPr>
                <w:lang w:val="pl-PL"/>
              </w:rPr>
              <w:lastRenderedPageBreak/>
              <w:t>- stosuje pojęcia</w:t>
            </w:r>
            <w:r w:rsidRPr="00F24910">
              <w:rPr>
                <w:i/>
                <w:lang w:val="pl-PL"/>
              </w:rPr>
              <w:t xml:space="preserve"> odwilż </w:t>
            </w:r>
            <w:proofErr w:type="spellStart"/>
            <w:r w:rsidRPr="00F24910">
              <w:rPr>
                <w:i/>
                <w:lang w:val="pl-PL"/>
              </w:rPr>
              <w:t>posewastopolska</w:t>
            </w:r>
            <w:proofErr w:type="spellEnd"/>
            <w:r w:rsidRPr="00F24910">
              <w:rPr>
                <w:i/>
                <w:lang w:val="pl-PL"/>
              </w:rPr>
              <w:t xml:space="preserve">, </w:t>
            </w:r>
            <w:r w:rsidRPr="00F24910">
              <w:rPr>
                <w:i/>
                <w:lang w:val="pl-PL"/>
              </w:rPr>
              <w:br/>
            </w:r>
            <w:proofErr w:type="spellStart"/>
            <w:r w:rsidRPr="00F24910">
              <w:rPr>
                <w:i/>
                <w:lang w:val="pl-PL"/>
              </w:rPr>
              <w:t>risorgimento</w:t>
            </w:r>
            <w:proofErr w:type="spellEnd"/>
          </w:p>
          <w:p w:rsidR="00F24910" w:rsidRPr="00F24910" w:rsidRDefault="00F24910" w:rsidP="00F24910">
            <w:pPr>
              <w:rPr>
                <w:lang w:val="pl-PL"/>
              </w:rPr>
            </w:pPr>
            <w:r w:rsidRPr="00F24910">
              <w:rPr>
                <w:lang w:val="pl-PL"/>
              </w:rPr>
              <w:t xml:space="preserve">- lokalizuje w czasie wojnę koalicji francusko-sardyńskiej z Austrią (1859), , przyłączenie Wenecji do Włoch (1866), </w:t>
            </w:r>
            <w:r w:rsidRPr="00F24910">
              <w:rPr>
                <w:lang w:val="pl-PL"/>
              </w:rPr>
              <w:lastRenderedPageBreak/>
              <w:t>przyłączenie Rzymu do Włoch (1870)</w:t>
            </w:r>
          </w:p>
          <w:p w:rsidR="00F24910" w:rsidRPr="00F24910" w:rsidRDefault="00F24910" w:rsidP="00F24910">
            <w:pPr>
              <w:rPr>
                <w:lang w:val="pl-PL"/>
              </w:rPr>
            </w:pPr>
            <w:r w:rsidRPr="00F24910">
              <w:rPr>
                <w:lang w:val="pl-PL"/>
              </w:rPr>
              <w:t>- lokalizuje w czasie i przestrzeni wyprawę „tysiąca czerwonych koszul” (1860)</w:t>
            </w:r>
          </w:p>
          <w:p w:rsidR="00F24910" w:rsidRPr="00F24910" w:rsidRDefault="00F24910" w:rsidP="00F24910">
            <w:pPr>
              <w:rPr>
                <w:lang w:val="pl-PL"/>
              </w:rPr>
            </w:pPr>
            <w:r w:rsidRPr="00F24910">
              <w:rPr>
                <w:lang w:val="pl-PL"/>
              </w:rPr>
              <w:t xml:space="preserve">- identyfikuje postać Camilla </w:t>
            </w:r>
            <w:proofErr w:type="spellStart"/>
            <w:r w:rsidRPr="00F24910">
              <w:rPr>
                <w:lang w:val="pl-PL"/>
              </w:rPr>
              <w:t>Cavoura</w:t>
            </w:r>
            <w:proofErr w:type="spellEnd"/>
          </w:p>
          <w:p w:rsidR="00F24910" w:rsidRPr="00F24910" w:rsidRDefault="00F24910" w:rsidP="00F24910">
            <w:pPr>
              <w:rPr>
                <w:lang w:val="pl-PL"/>
              </w:rPr>
            </w:pPr>
            <w:r w:rsidRPr="00F24910">
              <w:rPr>
                <w:lang w:val="pl-PL"/>
              </w:rPr>
              <w:t>- wyjaśnia, jaką rolę w procesie jednoczenia Włoch odegrał Piemont</w:t>
            </w:r>
          </w:p>
          <w:p w:rsidR="00F24910" w:rsidRPr="00F24910" w:rsidRDefault="00F24910" w:rsidP="00F24910">
            <w:pPr>
              <w:rPr>
                <w:lang w:val="pl-PL"/>
              </w:rPr>
            </w:pPr>
            <w:r w:rsidRPr="00F24910">
              <w:rPr>
                <w:lang w:val="pl-PL"/>
              </w:rPr>
              <w:t>- opisuje proces jednoczenia Włoch</w:t>
            </w:r>
          </w:p>
          <w:p w:rsidR="00F24910" w:rsidRPr="00F24910" w:rsidRDefault="00F24910" w:rsidP="00F24910">
            <w:pPr>
              <w:rPr>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lang w:val="pl-PL"/>
              </w:rPr>
            </w:pPr>
            <w:r w:rsidRPr="00F24910">
              <w:rPr>
                <w:lang w:val="pl-PL"/>
              </w:rPr>
              <w:lastRenderedPageBreak/>
              <w:t>- stosuje pojęcie</w:t>
            </w:r>
            <w:r w:rsidRPr="00F24910">
              <w:rPr>
                <w:i/>
                <w:lang w:val="pl-PL"/>
              </w:rPr>
              <w:t xml:space="preserve"> panslawizm</w:t>
            </w:r>
          </w:p>
          <w:p w:rsidR="00F24910" w:rsidRPr="00F24910" w:rsidRDefault="00F24910" w:rsidP="00F24910">
            <w:pPr>
              <w:rPr>
                <w:lang w:val="pl-PL"/>
              </w:rPr>
            </w:pPr>
            <w:r w:rsidRPr="00F24910">
              <w:rPr>
                <w:lang w:val="pl-PL"/>
              </w:rPr>
              <w:t xml:space="preserve">- lokalizuje w czasie powstania w Toskanii, Modenie, Parmie pierwszą konwencję genewską (1864), powstanie </w:t>
            </w:r>
            <w:r w:rsidRPr="00F24910">
              <w:rPr>
                <w:lang w:val="pl-PL"/>
              </w:rPr>
              <w:lastRenderedPageBreak/>
              <w:t>Czerwonego Krzyża (1864)</w:t>
            </w:r>
          </w:p>
          <w:p w:rsidR="00F24910" w:rsidRPr="00F24910" w:rsidRDefault="00F24910" w:rsidP="00F24910">
            <w:pPr>
              <w:rPr>
                <w:lang w:val="pl-PL"/>
              </w:rPr>
            </w:pPr>
            <w:r w:rsidRPr="00F24910">
              <w:rPr>
                <w:lang w:val="pl-PL"/>
              </w:rPr>
              <w:t>- lokalizuje w czasie i przestrzeni zdobycie Sewastopola (1855)</w:t>
            </w:r>
          </w:p>
          <w:p w:rsidR="00F24910" w:rsidRPr="00F24910" w:rsidRDefault="00F24910" w:rsidP="00F24910">
            <w:pPr>
              <w:rPr>
                <w:lang w:val="pl-PL"/>
              </w:rPr>
            </w:pPr>
            <w:r w:rsidRPr="00F24910">
              <w:rPr>
                <w:lang w:val="pl-PL"/>
              </w:rPr>
              <w:t>- lokalizuje w przestrzeni etapy jednoczenia Włoch</w:t>
            </w:r>
          </w:p>
          <w:p w:rsidR="00F24910" w:rsidRPr="00F24910" w:rsidRDefault="00F24910" w:rsidP="00F24910">
            <w:pPr>
              <w:rPr>
                <w:lang w:val="pl-PL"/>
              </w:rPr>
            </w:pPr>
            <w:r w:rsidRPr="00F24910">
              <w:rPr>
                <w:lang w:val="pl-PL"/>
              </w:rPr>
              <w:t xml:space="preserve">- identyfikuje postacie Mikołaja I, Aleksandra II, Jeana Henriego </w:t>
            </w:r>
            <w:proofErr w:type="spellStart"/>
            <w:r w:rsidRPr="00F24910">
              <w:rPr>
                <w:lang w:val="pl-PL"/>
              </w:rPr>
              <w:t>Dunanta</w:t>
            </w:r>
            <w:proofErr w:type="spellEnd"/>
            <w:r w:rsidRPr="00F24910">
              <w:rPr>
                <w:lang w:val="pl-PL"/>
              </w:rPr>
              <w:t xml:space="preserve"> i Giuseppe Verdiego</w:t>
            </w:r>
          </w:p>
          <w:p w:rsidR="00F24910" w:rsidRPr="00F24910" w:rsidRDefault="00F24910" w:rsidP="00F24910">
            <w:pPr>
              <w:rPr>
                <w:lang w:val="pl-PL"/>
              </w:rPr>
            </w:pPr>
            <w:r w:rsidRPr="00F24910">
              <w:rPr>
                <w:lang w:val="pl-PL"/>
              </w:rPr>
              <w:t>- przedstawia przebieg wojny krymskiej</w:t>
            </w:r>
          </w:p>
          <w:p w:rsidR="00F24910" w:rsidRPr="00F24910" w:rsidRDefault="00F24910" w:rsidP="00F24910">
            <w:pPr>
              <w:rPr>
                <w:lang w:val="pl-PL"/>
              </w:rPr>
            </w:pPr>
            <w:r w:rsidRPr="00F24910">
              <w:rPr>
                <w:lang w:val="pl-PL"/>
              </w:rPr>
              <w:t>- przedstawia okoliczności powstania Czerwonego Krzyża</w:t>
            </w:r>
          </w:p>
          <w:p w:rsidR="00F24910" w:rsidRPr="00F24910" w:rsidRDefault="00F24910" w:rsidP="00F24910">
            <w:pPr>
              <w:rPr>
                <w:lang w:val="pl-PL"/>
              </w:rPr>
            </w:pPr>
            <w:r w:rsidRPr="00F24910">
              <w:rPr>
                <w:lang w:val="pl-PL"/>
              </w:rPr>
              <w:br/>
              <w:t xml:space="preserve">- omawia politykę prowadzoną przez rząd Camilla </w:t>
            </w:r>
            <w:proofErr w:type="spellStart"/>
            <w:r w:rsidRPr="00F24910">
              <w:rPr>
                <w:lang w:val="pl-PL"/>
              </w:rPr>
              <w:t>Cavoura</w:t>
            </w:r>
            <w:proofErr w:type="spellEnd"/>
          </w:p>
          <w:p w:rsidR="00F24910" w:rsidRPr="00F24910" w:rsidRDefault="00F24910" w:rsidP="00F24910">
            <w:pPr>
              <w:rPr>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lang w:val="pl-PL"/>
              </w:rPr>
            </w:pPr>
            <w:r w:rsidRPr="00F24910">
              <w:rPr>
                <w:lang w:val="pl-PL"/>
              </w:rPr>
              <w:lastRenderedPageBreak/>
              <w:t>- lokalizuje w czasie pokój w Paryżu (1856)</w:t>
            </w:r>
          </w:p>
          <w:p w:rsidR="00F24910" w:rsidRPr="00F24910" w:rsidRDefault="00F24910" w:rsidP="00F24910">
            <w:pPr>
              <w:rPr>
                <w:lang w:val="pl-PL"/>
              </w:rPr>
            </w:pPr>
            <w:r w:rsidRPr="00F24910">
              <w:rPr>
                <w:lang w:val="pl-PL"/>
              </w:rPr>
              <w:t>- lokalizuje w czasie i przestrzeni bitwy pod Magentą i Solferino (1859)</w:t>
            </w:r>
          </w:p>
          <w:p w:rsidR="00F24910" w:rsidRPr="00F24910" w:rsidRDefault="00F24910" w:rsidP="00F24910">
            <w:pPr>
              <w:rPr>
                <w:lang w:val="pl-PL"/>
              </w:rPr>
            </w:pPr>
            <w:r w:rsidRPr="00F24910">
              <w:rPr>
                <w:lang w:val="pl-PL"/>
              </w:rPr>
              <w:t xml:space="preserve">- wyjaśnia, dlaczego wojna krymska może być uważana za koniec </w:t>
            </w:r>
            <w:r w:rsidRPr="00F24910">
              <w:rPr>
                <w:lang w:val="pl-PL"/>
              </w:rPr>
              <w:lastRenderedPageBreak/>
              <w:t>porządku wiedeńskiego</w:t>
            </w:r>
          </w:p>
          <w:p w:rsidR="00F24910" w:rsidRPr="00F24910" w:rsidRDefault="00F24910" w:rsidP="00F24910">
            <w:pPr>
              <w:rPr>
                <w:lang w:val="pl-PL"/>
              </w:rPr>
            </w:pPr>
            <w:r w:rsidRPr="00F24910">
              <w:rPr>
                <w:lang w:val="pl-PL"/>
              </w:rPr>
              <w:t>- wyjaśnia, dlaczego zjednoczenie Włoch można nazwać procesem oddolnym</w:t>
            </w:r>
          </w:p>
          <w:p w:rsidR="00F24910" w:rsidRPr="00F24910" w:rsidRDefault="00F24910" w:rsidP="00F24910">
            <w:pPr>
              <w:rPr>
                <w:lang w:val="pl-PL"/>
              </w:rPr>
            </w:pPr>
            <w:r w:rsidRPr="00F24910">
              <w:rPr>
                <w:lang w:val="pl-PL"/>
              </w:rPr>
              <w:t>- wyjaśnia, jaką rolę odgrywała Francja w procesie jednoczenia Włoch</w:t>
            </w:r>
            <w:r w:rsidRPr="00F24910">
              <w:rPr>
                <w:lang w:val="pl-PL"/>
              </w:rPr>
              <w:br/>
              <w:t xml:space="preserve">-  porównuje koncepcje zjednoczenia Włoch proponowane przez Giuseppe Garibaldiego i Camilla </w:t>
            </w:r>
            <w:proofErr w:type="spellStart"/>
            <w:r w:rsidRPr="00F24910">
              <w:rPr>
                <w:lang w:val="pl-PL"/>
              </w:rPr>
              <w:t>Cavoura</w:t>
            </w:r>
            <w:proofErr w:type="spellEnd"/>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lang w:val="pl-PL"/>
              </w:rPr>
            </w:pPr>
            <w:r w:rsidRPr="00F24910">
              <w:rPr>
                <w:lang w:val="pl-PL"/>
              </w:rPr>
              <w:lastRenderedPageBreak/>
              <w:t xml:space="preserve">- ocenia rolę Camilla </w:t>
            </w:r>
            <w:proofErr w:type="spellStart"/>
            <w:r w:rsidRPr="00F24910">
              <w:rPr>
                <w:lang w:val="pl-PL"/>
              </w:rPr>
              <w:t>Cavoura</w:t>
            </w:r>
            <w:proofErr w:type="spellEnd"/>
            <w:r w:rsidRPr="00F24910">
              <w:rPr>
                <w:lang w:val="pl-PL"/>
              </w:rPr>
              <w:t xml:space="preserve"> i Giuseppe Garibaldiego w jednoczeniu państwa włoskiego</w:t>
            </w:r>
          </w:p>
          <w:p w:rsidR="00F24910" w:rsidRPr="00F24910" w:rsidRDefault="00F24910" w:rsidP="00F24910">
            <w:pPr>
              <w:rPr>
                <w:lang w:val="pl-PL"/>
              </w:rPr>
            </w:pP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Zjednoczenie Niemiec</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Wielkie czy Małe Niemcy?</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lastRenderedPageBreak/>
              <w:t>Zjednoczenie Niemiec „krwią i żelazem”</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Powstanie Austro-Węgier</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Wojna z Francją</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Komuna Paryska</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zjednoczenie „krwią i żelazem”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utworzenie ustanowienie Cesarstwa Niemieckiego (I 1871)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Ottona von Bismarcka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na czym miał polegać proces jednoczenia Niemiec „krwią i żelazem”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wydarzenia, które składały się na proces jednoczenia Niemiec „krwią i żelazem”</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 xml:space="preserve">Małych Niemiec, Wielkich </w:t>
            </w:r>
            <w:r w:rsidRPr="00F24910">
              <w:rPr>
                <w:rFonts w:ascii="Times New Roman" w:hAnsi="Times New Roman" w:cs="Times New Roman"/>
                <w:i/>
                <w:sz w:val="20"/>
                <w:szCs w:val="20"/>
                <w:lang w:val="pl-PL"/>
              </w:rPr>
              <w:lastRenderedPageBreak/>
              <w:t>Niemiec,</w:t>
            </w:r>
            <w:r w:rsidRPr="00F24910">
              <w:rPr>
                <w:rFonts w:ascii="Times New Roman" w:hAnsi="Times New Roman" w:cs="Times New Roman"/>
                <w:sz w:val="20"/>
                <w:szCs w:val="20"/>
                <w:lang w:val="pl-PL"/>
              </w:rPr>
              <w:t xml:space="preserve"> </w:t>
            </w:r>
            <w:r w:rsidRPr="00F24910">
              <w:rPr>
                <w:rFonts w:ascii="Times New Roman" w:hAnsi="Times New Roman" w:cs="Times New Roman"/>
                <w:i/>
                <w:sz w:val="20"/>
                <w:szCs w:val="20"/>
                <w:lang w:val="pl-PL"/>
              </w:rPr>
              <w:t>Komuna Paryska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wojnę koalicji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prusko-austriackiej z Danią (1864), wojnę prusko-austriacką (1866), utworzenie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Związku Północnoniemieckiego (1867), wojnę francusko-pruską (1870), pokój we Frankfurcie (V 1871), Komunę Paryską (III – V 1871)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Wilhelma I Hohenzollerna, Napoleona III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przyczyny i skutki wojny Austrii z Prusami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przyczyny, przebieg i skutki wojny francusko-pruskiej</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utworzenie Niemieckiego Związku Celnego (1834), </w:t>
            </w:r>
            <w:r w:rsidRPr="00F24910">
              <w:rPr>
                <w:rFonts w:ascii="Times New Roman" w:hAnsi="Times New Roman" w:cs="Times New Roman"/>
                <w:sz w:val="20"/>
                <w:szCs w:val="20"/>
                <w:lang w:val="pl-PL"/>
              </w:rPr>
              <w:lastRenderedPageBreak/>
              <w:t>powstanie Austro-Węgier (1867)</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i przestrzeni bitwę pod Sadową (1866), oblężenie Sedanu i Metzu (1870)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etapy jednoczenia Niemiec</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w:t>
            </w:r>
            <w:proofErr w:type="spellStart"/>
            <w:r w:rsidRPr="00F24910">
              <w:rPr>
                <w:rFonts w:ascii="Times New Roman" w:hAnsi="Times New Roman" w:cs="Times New Roman"/>
                <w:sz w:val="20"/>
                <w:szCs w:val="20"/>
                <w:lang w:val="pl-PL"/>
              </w:rPr>
              <w:t>Helmutha</w:t>
            </w:r>
            <w:proofErr w:type="spellEnd"/>
            <w:r w:rsidRPr="00F24910">
              <w:rPr>
                <w:rFonts w:ascii="Times New Roman" w:hAnsi="Times New Roman" w:cs="Times New Roman"/>
                <w:sz w:val="20"/>
                <w:szCs w:val="20"/>
                <w:lang w:val="pl-PL"/>
              </w:rPr>
              <w:t xml:space="preserve"> von Moltke, Franciszka Józefa 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proces budowania potęgi gospodarczej i politycznej Prus w XIX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przyczyny i skutki wojny Prus i Austrii z Danią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następstwa miała wojna prusko-austriacka dla każdej ze stron</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w jakich okolicznościach doszło do upadku Komuny Paryskiej </w:t>
            </w:r>
            <w:r w:rsidRPr="00F24910">
              <w:rPr>
                <w:rFonts w:ascii="Times New Roman" w:hAnsi="Times New Roman" w:cs="Times New Roman"/>
                <w:sz w:val="20"/>
                <w:szCs w:val="20"/>
                <w:lang w:val="pl-PL"/>
              </w:rPr>
              <w:br/>
              <w:t xml:space="preserve">- wyjaśnia, na czym polegała rywalizacja </w:t>
            </w:r>
            <w:r w:rsidRPr="00F24910">
              <w:rPr>
                <w:rFonts w:ascii="Times New Roman" w:hAnsi="Times New Roman" w:cs="Times New Roman"/>
                <w:sz w:val="20"/>
                <w:szCs w:val="20"/>
                <w:lang w:val="pl-PL"/>
              </w:rPr>
              <w:lastRenderedPageBreak/>
              <w:t>Austrii i Prus w procesie jednoczenia państw niemieckich</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pokój w Pradze (1866)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identyfikuje postacie Louisa </w:t>
            </w:r>
            <w:proofErr w:type="spellStart"/>
            <w:r w:rsidRPr="00F24910">
              <w:rPr>
                <w:rFonts w:ascii="Times New Roman" w:hAnsi="Times New Roman" w:cs="Times New Roman"/>
                <w:sz w:val="20"/>
                <w:szCs w:val="20"/>
                <w:lang w:val="pl-PL"/>
              </w:rPr>
              <w:t>Adolphe’a</w:t>
            </w:r>
            <w:proofErr w:type="spellEnd"/>
            <w:r w:rsidRPr="00F24910">
              <w:rPr>
                <w:rFonts w:ascii="Times New Roman" w:hAnsi="Times New Roman" w:cs="Times New Roman"/>
                <w:sz w:val="20"/>
                <w:szCs w:val="20"/>
                <w:lang w:val="pl-PL"/>
              </w:rPr>
              <w:t xml:space="preserve"> Thiersa, Jarosława Dąbrowskiego, Walerego Wróblewskiego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znaczenie dla układu sił w Europie miało powstanie Cesarstwa Niemieckiego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na czym polegało rewolucyjne znaczenie Komuny Paryskiej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zjednoczenie Niemiec można nazwać procesem odgórnym</w:t>
            </w: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ocenia politykę zjednoczeniową Ottona von Bismarcka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omawia różnice </w:t>
            </w:r>
            <w:r w:rsidRPr="00F24910">
              <w:rPr>
                <w:rFonts w:ascii="Times New Roman" w:hAnsi="Times New Roman" w:cs="Times New Roman"/>
                <w:sz w:val="20"/>
                <w:szCs w:val="20"/>
                <w:lang w:val="pl-PL"/>
              </w:rPr>
              <w:br/>
              <w:t>i podobieństwa w procesie zjednoczenia Włoch i Niemiec</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Stany Zjednoczone w XIX wieku</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Budowa państwa i społeczeństwa USA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Geneza wojny secesyjnej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Wojna secesyjna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Skutki wojny secesyjnej</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wojnę secesyjną (1861–1865)</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Abrahama Lincolna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przyczyny i skutki wojny secesyjnej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znaczenie dla przebiegu wojny secesyjnej miało ogłoszenie dekretu o zniesieniu niewolnictwa</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izolacjonizm, secesja, abolicjonizm</w:t>
            </w:r>
            <w:r w:rsidRPr="00F24910">
              <w:rPr>
                <w:rFonts w:ascii="Times New Roman" w:hAnsi="Times New Roman" w:cs="Times New Roman"/>
                <w:sz w:val="20"/>
                <w:szCs w:val="20"/>
                <w:lang w:val="pl-PL"/>
              </w:rPr>
              <w:t xml:space="preserv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wybór Abrahama Lincolna na prezydenta USA (1860), zniesienie niewolnictwa w USA (1863)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i przestrzeni bitwę pod </w:t>
            </w:r>
            <w:proofErr w:type="spellStart"/>
            <w:r w:rsidRPr="00F24910">
              <w:rPr>
                <w:rFonts w:ascii="Times New Roman" w:hAnsi="Times New Roman" w:cs="Times New Roman"/>
                <w:sz w:val="20"/>
                <w:szCs w:val="20"/>
                <w:lang w:val="pl-PL"/>
              </w:rPr>
              <w:t>Gettysburgiem</w:t>
            </w:r>
            <w:proofErr w:type="spellEnd"/>
            <w:r w:rsidRPr="00F24910">
              <w:rPr>
                <w:rFonts w:ascii="Times New Roman" w:hAnsi="Times New Roman" w:cs="Times New Roman"/>
                <w:sz w:val="20"/>
                <w:szCs w:val="20"/>
                <w:lang w:val="pl-PL"/>
              </w:rPr>
              <w:t xml:space="preserve"> (1863)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Ulyssesa Granta, Williama Shermana, Roberta Lee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 wpływ na gospodarkę i społeczeństwo miała migracja z Europy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kwestię niewolnictwa i jej wpływ na konflikt między Północą a Południem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wyjaśnia, na czym polegała polityka izolacjonizmu</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ogłoszenie doktryny </w:t>
            </w:r>
            <w:proofErr w:type="spellStart"/>
            <w:r w:rsidRPr="00F24910">
              <w:rPr>
                <w:rFonts w:ascii="Times New Roman" w:hAnsi="Times New Roman" w:cs="Times New Roman"/>
                <w:sz w:val="20"/>
                <w:szCs w:val="20"/>
                <w:lang w:val="pl-PL"/>
              </w:rPr>
              <w:t>Monroego</w:t>
            </w:r>
            <w:proofErr w:type="spellEnd"/>
            <w:r w:rsidRPr="00F24910">
              <w:rPr>
                <w:rFonts w:ascii="Times New Roman" w:hAnsi="Times New Roman" w:cs="Times New Roman"/>
                <w:sz w:val="20"/>
                <w:szCs w:val="20"/>
                <w:lang w:val="pl-PL"/>
              </w:rPr>
              <w:t xml:space="preserve"> (1823), powstanie Skonfederowanych Stanów Ameryki (1861)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i przestrzeni atak na Fort </w:t>
            </w:r>
            <w:proofErr w:type="spellStart"/>
            <w:r w:rsidRPr="00F24910">
              <w:rPr>
                <w:rFonts w:ascii="Times New Roman" w:hAnsi="Times New Roman" w:cs="Times New Roman"/>
                <w:sz w:val="20"/>
                <w:szCs w:val="20"/>
                <w:lang w:val="pl-PL"/>
              </w:rPr>
              <w:t>Sumter</w:t>
            </w:r>
            <w:proofErr w:type="spellEnd"/>
            <w:r w:rsidRPr="00F24910">
              <w:rPr>
                <w:rFonts w:ascii="Times New Roman" w:hAnsi="Times New Roman" w:cs="Times New Roman"/>
                <w:sz w:val="20"/>
                <w:szCs w:val="20"/>
                <w:lang w:val="pl-PL"/>
              </w:rPr>
              <w:t xml:space="preserve"> (1861)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rozwój terytorialny USA w XIX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Jamesa </w:t>
            </w:r>
            <w:proofErr w:type="spellStart"/>
            <w:r w:rsidRPr="00F24910">
              <w:rPr>
                <w:rFonts w:ascii="Times New Roman" w:hAnsi="Times New Roman" w:cs="Times New Roman"/>
                <w:sz w:val="20"/>
                <w:szCs w:val="20"/>
                <w:lang w:val="pl-PL"/>
              </w:rPr>
              <w:t>Monroego</w:t>
            </w:r>
            <w:proofErr w:type="spellEnd"/>
            <w:r w:rsidRPr="00F24910">
              <w:rPr>
                <w:rFonts w:ascii="Times New Roman" w:hAnsi="Times New Roman" w:cs="Times New Roman"/>
                <w:sz w:val="20"/>
                <w:szCs w:val="20"/>
                <w:lang w:val="pl-PL"/>
              </w:rPr>
              <w:t>, Jeffersona Davisa, Johna Browna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sytuację społeczną w USA w pierwszej połowie XIX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skutki ekspansji terytorialnej Stanów Zjednoczonych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przebieg wojny secesyjnej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rolę polityczną USA w obu Amerykach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porównuje potencjał gospodarczy, społeczny i polityczny obu stron konfliktu w wojnie secesyjnej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sytuację rdzennej ludności Stanów Zjednoczonych w XIX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polityczne, gospodarcze i społeczne skutki wojny secesyjnej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jakie znaczenie dla Stanów Zjednoczonych miała wojna secesyjna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nowatorskie rozwiązania techniczne zastosowane w czasie wojny secesyjnej</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Ekspansja kolonialna</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Nowy podział kontynentów</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Przyczyny ekspansji kolonialnej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Kolonizacja Afryki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Kolonializm w Azji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Polityka kolonialna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Wojny i konflikty kolonialne</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kolonializm,</w:t>
            </w:r>
            <w:r w:rsidRPr="00F24910">
              <w:rPr>
                <w:rFonts w:ascii="Times New Roman" w:hAnsi="Times New Roman" w:cs="Times New Roman"/>
                <w:sz w:val="20"/>
                <w:szCs w:val="20"/>
                <w:lang w:val="pl-PL"/>
              </w:rPr>
              <w:t xml:space="preserve"> </w:t>
            </w:r>
            <w:r w:rsidRPr="00F24910">
              <w:rPr>
                <w:rFonts w:ascii="Times New Roman" w:hAnsi="Times New Roman" w:cs="Times New Roman"/>
                <w:i/>
                <w:sz w:val="20"/>
                <w:szCs w:val="20"/>
                <w:lang w:val="pl-PL"/>
              </w:rPr>
              <w:t>imperializm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przyczyny ekspansji kolonialnej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skutki ekspansji kolonialnej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dochodziło do konfliktów kolonialnych</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protektorat,</w:t>
            </w:r>
            <w:r w:rsidRPr="00F24910">
              <w:rPr>
                <w:rFonts w:ascii="Times New Roman" w:hAnsi="Times New Roman" w:cs="Times New Roman"/>
                <w:sz w:val="20"/>
                <w:szCs w:val="20"/>
                <w:lang w:val="pl-PL"/>
              </w:rPr>
              <w:t xml:space="preserve"> </w:t>
            </w:r>
            <w:r w:rsidRPr="00F24910">
              <w:rPr>
                <w:rFonts w:ascii="Times New Roman" w:hAnsi="Times New Roman" w:cs="Times New Roman"/>
                <w:i/>
                <w:sz w:val="20"/>
                <w:szCs w:val="20"/>
                <w:lang w:val="pl-PL"/>
              </w:rPr>
              <w:t>dominium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I wojnę opiumową (1839–1841), początek reformy </w:t>
            </w:r>
            <w:proofErr w:type="spellStart"/>
            <w:r w:rsidRPr="00F24910">
              <w:rPr>
                <w:rFonts w:ascii="Times New Roman" w:hAnsi="Times New Roman" w:cs="Times New Roman"/>
                <w:sz w:val="20"/>
                <w:szCs w:val="20"/>
                <w:lang w:val="pl-PL"/>
              </w:rPr>
              <w:t>Meiji</w:t>
            </w:r>
            <w:proofErr w:type="spellEnd"/>
            <w:r w:rsidRPr="00F24910">
              <w:rPr>
                <w:rFonts w:ascii="Times New Roman" w:hAnsi="Times New Roman" w:cs="Times New Roman"/>
                <w:sz w:val="20"/>
                <w:szCs w:val="20"/>
                <w:lang w:val="pl-PL"/>
              </w:rPr>
              <w:t xml:space="preserve"> (1868), otwarcie Kanału Sueskiego (1869)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zasięg imperiów kolonialnych mocarstw europejskich w Afryce i Azji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ekonomiczne, polityczne, militarne, społeczne i kulturowe przyczyny ekspansji kolonialnej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Japonia w przeciwieństwie do Chin nie uległa kolonizacji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znaczenie miał Kanał Sueski dla polityki kolonialnej i imperialnej w XIX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przykłady konfliktów kolonialnych  </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półkolonia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Cecila Johna </w:t>
            </w:r>
            <w:proofErr w:type="spellStart"/>
            <w:r w:rsidRPr="00F24910">
              <w:rPr>
                <w:rFonts w:ascii="Times New Roman" w:hAnsi="Times New Roman" w:cs="Times New Roman"/>
                <w:sz w:val="20"/>
                <w:szCs w:val="20"/>
                <w:lang w:val="pl-PL"/>
              </w:rPr>
              <w:t>Rhodesa</w:t>
            </w:r>
            <w:proofErr w:type="spellEnd"/>
            <w:r w:rsidRPr="00F24910">
              <w:rPr>
                <w:rFonts w:ascii="Times New Roman" w:hAnsi="Times New Roman" w:cs="Times New Roman"/>
                <w:sz w:val="20"/>
                <w:szCs w:val="20"/>
                <w:lang w:val="pl-PL"/>
              </w:rPr>
              <w:t>, Mutsuhito, Ferdinanda de Lessepsa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powstanie sipajów (1857–1859), powstanie bokserów (1899–1901), I wojnę burską (1880–1881), II wojnę burską (1899–1902)</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opisuje proces kolonizacji Afryki przez Wielką Brytanię, Niemcy i Włochy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politykę mocarstw europejskich wobec Chin</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otwarcie Japonii (1854), konferencję berlińską (1884–1885), powstanie Mahdiego (1881–1899), aneksję Hawajów przez USA (1898)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przykłady zbrodni kolonizatorów w Afryce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przykłady oporu rdzennych ludów Afryki i Azji wobec kolonizatorów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proces kolonizacji Indochin</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postawy kolonizatorów wobec rdzennej ludności Afryki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skutki ekspansji kolonialnej w Afryce i Azji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znaczenie XIX-wiecznego kolonializmu dla metropolii i państw kolonizowanych</w:t>
            </w:r>
          </w:p>
          <w:p w:rsidR="00F24910" w:rsidRPr="00F24910" w:rsidRDefault="00F24910" w:rsidP="00F24910">
            <w:pPr>
              <w:rPr>
                <w:rFonts w:ascii="Times New Roman" w:hAnsi="Times New Roman" w:cs="Times New Roman"/>
                <w:sz w:val="20"/>
                <w:szCs w:val="20"/>
                <w:lang w:val="pl-PL"/>
              </w:rPr>
            </w:pP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Postęp naukowy i techniczny</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Rozwój nauki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Rozwój medycyny i higieny</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Rozwój techniki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Wpływ postępu technicznego na życie codzienne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Zmiany ludnościowe </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urbanizacja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Charlesa Darwina, Louisa Pasteura, Wilhelma Roentgena, Alberta Einsteina, Marii Skłodowskiej-Curie, Alexandra Grahama Bella, Thomasa Alvy Edisona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wynalazki techniczne przełomu XIX i XX w.</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darwinizm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ogłoszenie teorii ewolucji Darwina (1859), wynalezienie telefonu (1876), odkrycie promieni Roentgena (1895) odkrycie polonu i radu (1898)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Zygmunta Freuda, Dmitrija Mendelejewa, Karola Olszewskiego, Zygmunta Wróblewskiego, Guglielma Marconiego, Aleksandra Popowa, </w:t>
            </w:r>
            <w:proofErr w:type="spellStart"/>
            <w:r w:rsidRPr="00F24910">
              <w:rPr>
                <w:rFonts w:ascii="Times New Roman" w:hAnsi="Times New Roman" w:cs="Times New Roman"/>
                <w:sz w:val="20"/>
                <w:szCs w:val="20"/>
                <w:lang w:val="pl-PL"/>
              </w:rPr>
              <w:t>Orvilla</w:t>
            </w:r>
            <w:proofErr w:type="spellEnd"/>
            <w:r w:rsidRPr="00F24910">
              <w:rPr>
                <w:rFonts w:ascii="Times New Roman" w:hAnsi="Times New Roman" w:cs="Times New Roman"/>
                <w:sz w:val="20"/>
                <w:szCs w:val="20"/>
                <w:lang w:val="pl-PL"/>
              </w:rPr>
              <w:t xml:space="preserve"> i </w:t>
            </w:r>
            <w:proofErr w:type="spellStart"/>
            <w:r w:rsidRPr="00F24910">
              <w:rPr>
                <w:rFonts w:ascii="Times New Roman" w:hAnsi="Times New Roman" w:cs="Times New Roman"/>
                <w:sz w:val="20"/>
                <w:szCs w:val="20"/>
                <w:lang w:val="pl-PL"/>
              </w:rPr>
              <w:t>Wilbura</w:t>
            </w:r>
            <w:proofErr w:type="spellEnd"/>
            <w:r w:rsidRPr="00F24910">
              <w:rPr>
                <w:rFonts w:ascii="Times New Roman" w:hAnsi="Times New Roman" w:cs="Times New Roman"/>
                <w:sz w:val="20"/>
                <w:szCs w:val="20"/>
                <w:lang w:val="pl-PL"/>
              </w:rPr>
              <w:t xml:space="preserve"> Wrightów, Henry’ego Forda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jakie skutki miał wszechstronny rozwój nauki w drugiej połowie XIX i na początku XX w.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 wpływ miały wynalazki na rozwój komunikacji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jaki wpływ na życie codzienne miały odkrycia naukowe </w:t>
            </w:r>
            <w:r w:rsidRPr="00F24910">
              <w:rPr>
                <w:rFonts w:ascii="Times New Roman" w:hAnsi="Times New Roman" w:cs="Times New Roman"/>
                <w:sz w:val="20"/>
                <w:szCs w:val="20"/>
                <w:lang w:val="pl-PL"/>
              </w:rPr>
              <w:lastRenderedPageBreak/>
              <w:t>drugiej połowy XIX i początków XX w.</w:t>
            </w:r>
          </w:p>
          <w:p w:rsidR="00F24910" w:rsidRPr="00F24910" w:rsidRDefault="00F24910" w:rsidP="00F24910">
            <w:pPr>
              <w:rPr>
                <w:rFonts w:ascii="Times New Roman" w:hAnsi="Times New Roman" w:cs="Times New Roman"/>
                <w:sz w:val="20"/>
                <w:szCs w:val="20"/>
                <w:lang w:val="pl-PL"/>
              </w:rPr>
            </w:pP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antyseptyka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pierwsze wręczenie Nagrody Nobla (1901), pierwszy lot  samolotem (1903)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Augusta Comte’a, Gregora Mendla, Iwana Pawłowa, Roberta Kocha, Heinricha Hertza, </w:t>
            </w:r>
            <w:proofErr w:type="spellStart"/>
            <w:r w:rsidRPr="00F24910">
              <w:rPr>
                <w:rFonts w:ascii="Times New Roman" w:hAnsi="Times New Roman" w:cs="Times New Roman"/>
                <w:sz w:val="20"/>
                <w:szCs w:val="20"/>
                <w:lang w:val="pl-PL"/>
              </w:rPr>
              <w:t>Maxa</w:t>
            </w:r>
            <w:proofErr w:type="spellEnd"/>
            <w:r w:rsidRPr="00F24910">
              <w:rPr>
                <w:rFonts w:ascii="Times New Roman" w:hAnsi="Times New Roman" w:cs="Times New Roman"/>
                <w:sz w:val="20"/>
                <w:szCs w:val="20"/>
                <w:lang w:val="pl-PL"/>
              </w:rPr>
              <w:t xml:space="preserve"> Plancka, Pierre’a Curie, Ernsta von Siemensa, Carla Benza, Gottlieba Daimlera, Rudolfa Diesla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osiągnięcia naukowe w dziedzinie nauk przyrodniczych i ścisłych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zmiany w medycynie i higienie przełomu XIX i XX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wpływ przemian cywilizacyjnych na zmiany ludnościowe na przełomie XIX i XX w.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przedstawia wkład Polaków w rozwój nauki </w:t>
            </w:r>
            <w:r w:rsidRPr="00F24910">
              <w:rPr>
                <w:rFonts w:ascii="Times New Roman" w:hAnsi="Times New Roman" w:cs="Times New Roman"/>
                <w:sz w:val="20"/>
                <w:szCs w:val="20"/>
                <w:lang w:val="pl-PL"/>
              </w:rPr>
              <w:lastRenderedPageBreak/>
              <w:t>na przełomie XIX i XX w.</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pierwszą Wystawę Światową (1851), opracowanie układu okresowego pierwiastków (1869), opracowanie szczepionki przeciw wściekliźnie (1885), powstanie wieży Eiffla (1889)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Jeana Bernarda Foucaulta, Jamesa Maxwella, Ernesta Rutherforda, </w:t>
            </w:r>
            <w:proofErr w:type="spellStart"/>
            <w:r w:rsidRPr="00F24910">
              <w:rPr>
                <w:rFonts w:ascii="Times New Roman" w:hAnsi="Times New Roman" w:cs="Times New Roman"/>
                <w:sz w:val="20"/>
                <w:szCs w:val="20"/>
                <w:lang w:val="pl-PL"/>
              </w:rPr>
              <w:t>Antoine’a</w:t>
            </w:r>
            <w:proofErr w:type="spellEnd"/>
            <w:r w:rsidRPr="00F24910">
              <w:rPr>
                <w:rFonts w:ascii="Times New Roman" w:hAnsi="Times New Roman" w:cs="Times New Roman"/>
                <w:sz w:val="20"/>
                <w:szCs w:val="20"/>
                <w:lang w:val="pl-PL"/>
              </w:rPr>
              <w:t xml:space="preserve"> Henriego Becquerela, Louisa </w:t>
            </w:r>
            <w:proofErr w:type="spellStart"/>
            <w:r w:rsidRPr="00F24910">
              <w:rPr>
                <w:rFonts w:ascii="Times New Roman" w:hAnsi="Times New Roman" w:cs="Times New Roman"/>
                <w:sz w:val="20"/>
                <w:szCs w:val="20"/>
                <w:lang w:val="pl-PL"/>
              </w:rPr>
              <w:t>Blériota</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jaki wpływ miały wynalazki na rozwój technologii produkcji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opisuje, jakie były przyczyny i skutki wzrostu liczby ludności w Europie i na świecie</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wpływ postępu technicznego na życie codzienne</w:t>
            </w:r>
          </w:p>
          <w:p w:rsidR="00F24910" w:rsidRPr="00F24910" w:rsidRDefault="00F24910" w:rsidP="00F24910">
            <w:pPr>
              <w:rPr>
                <w:rFonts w:ascii="Times New Roman" w:hAnsi="Times New Roman" w:cs="Times New Roman"/>
                <w:sz w:val="20"/>
                <w:szCs w:val="20"/>
                <w:lang w:val="pl-PL"/>
              </w:rPr>
            </w:pP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Nowe ideologie i ruchy społeczne</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Demokratyzacja w Europie Zachodniej </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Socjalizm i ruch robotniczy</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Chrześcijańska demokracja i nacjonalizm</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Ruch na rzecz równouprawnienia kobiet</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demokratyzacja, emancypacja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przyznanie praw wyborczych kobietom w Polsce (1918)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nowe ideologie i ruchy społeczne, które powstały w pierwszej połowie XIX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postulaty ruchu emancypacyjnego kobiet</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 xml:space="preserve">socjaldemokracja, chrześcijańska demokracja, nacjonalizm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przyznanie powszechnego prawa wyborczego we Francji (1848), ogłoszenie Encykliki </w:t>
            </w:r>
            <w:r w:rsidRPr="00F24910">
              <w:rPr>
                <w:rFonts w:ascii="Times New Roman" w:hAnsi="Times New Roman" w:cs="Times New Roman"/>
                <w:i/>
                <w:sz w:val="20"/>
                <w:szCs w:val="20"/>
                <w:lang w:val="pl-PL"/>
              </w:rPr>
              <w:t xml:space="preserve">Rerum </w:t>
            </w:r>
            <w:proofErr w:type="spellStart"/>
            <w:r w:rsidRPr="00F24910">
              <w:rPr>
                <w:rFonts w:ascii="Times New Roman" w:hAnsi="Times New Roman" w:cs="Times New Roman"/>
                <w:i/>
                <w:sz w:val="20"/>
                <w:szCs w:val="20"/>
                <w:lang w:val="pl-PL"/>
              </w:rPr>
              <w:t>novarum</w:t>
            </w:r>
            <w:proofErr w:type="spellEnd"/>
            <w:r w:rsidRPr="00F24910">
              <w:rPr>
                <w:rFonts w:ascii="Times New Roman" w:hAnsi="Times New Roman" w:cs="Times New Roman"/>
                <w:sz w:val="20"/>
                <w:szCs w:val="20"/>
                <w:lang w:val="pl-PL"/>
              </w:rPr>
              <w:t xml:space="preserve"> (1891)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Leona XIII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postulaty ideologii socjaldemokratycznej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okoliczności powstania ruchu robotniczego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przykłady partii politycznych, związanych z ruchem robotniczym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przedstawia założenia ideologiczne </w:t>
            </w:r>
            <w:r w:rsidRPr="00F24910">
              <w:rPr>
                <w:rFonts w:ascii="Times New Roman" w:hAnsi="Times New Roman" w:cs="Times New Roman"/>
                <w:sz w:val="20"/>
                <w:szCs w:val="20"/>
                <w:lang w:val="pl-PL"/>
              </w:rPr>
              <w:lastRenderedPageBreak/>
              <w:t>chrześcijańskiej demokracji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podstawy ideologiczne nacjonalizmu</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wskazuje przykłady działań na rzecz równouprawnienia kobiet</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rewizjonizm (reformizm), anarchizm, syjonizm, sufrażystki, feminizm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powstanie I Międzynarodówki (1864), powstanie II Międzynarodówki (1889)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postać Eduarda Bernsteina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na czym polegał proces demokratyzacji ustrojowej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jaką rolę w ruchu robotniczym miała odgrywać I </w:t>
            </w:r>
            <w:proofErr w:type="spellStart"/>
            <w:r w:rsidRPr="00F24910">
              <w:rPr>
                <w:rFonts w:ascii="Times New Roman" w:hAnsi="Times New Roman" w:cs="Times New Roman"/>
                <w:sz w:val="20"/>
                <w:szCs w:val="20"/>
                <w:lang w:val="pl-PL"/>
              </w:rPr>
              <w:t>i</w:t>
            </w:r>
            <w:proofErr w:type="spellEnd"/>
            <w:r w:rsidRPr="00F24910">
              <w:rPr>
                <w:rFonts w:ascii="Times New Roman" w:hAnsi="Times New Roman" w:cs="Times New Roman"/>
                <w:sz w:val="20"/>
                <w:szCs w:val="20"/>
                <w:lang w:val="pl-PL"/>
              </w:rPr>
              <w:t xml:space="preserve"> II Międzynarodówka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skutki miała radykalizacja ideologii nacjonalistycznej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powstanie brytyjskiej Partii Pracy (1900)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Pierre’a Proudhona, Michaiła Bakunina, Piotra Kropotkina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skutki rozłamu w ruchu robotniczym po rozwiązaniu I Międzynarodówki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postulaty dzieliły anarchistów od socjalistów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opisuje proces demokratyzacji ustrojowej Wielkiej Brytanii</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skutki demokratyzacji ustrojowej na przykładzie Wielkiej Brytanii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opisuje proces przemian ustrojowych we Francji w drugiej połowie XIX w.</w:t>
            </w:r>
          </w:p>
          <w:p w:rsidR="00F24910" w:rsidRPr="00F24910" w:rsidRDefault="00F24910" w:rsidP="00F24910">
            <w:pPr>
              <w:rPr>
                <w:rFonts w:ascii="Times New Roman" w:hAnsi="Times New Roman" w:cs="Times New Roman"/>
                <w:sz w:val="20"/>
                <w:szCs w:val="20"/>
                <w:lang w:val="pl-PL"/>
              </w:rPr>
            </w:pP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Epoka pozytywizmu</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Scjentyzm i pozytywizm</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Literatura pozytywistyczna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Sztuka i architektura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Nowe nurty w sztuce </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Kultura staje się masowa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Aktywny wypoczynek</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pozytywizm, impresjonizm, secesja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w:t>
            </w:r>
            <w:proofErr w:type="spellStart"/>
            <w:r w:rsidRPr="00F24910">
              <w:rPr>
                <w:rFonts w:ascii="Times New Roman" w:hAnsi="Times New Roman" w:cs="Times New Roman"/>
                <w:sz w:val="20"/>
                <w:szCs w:val="20"/>
                <w:lang w:val="pl-PL"/>
              </w:rPr>
              <w:t>Émila</w:t>
            </w:r>
            <w:proofErr w:type="spellEnd"/>
            <w:r w:rsidRPr="00F24910">
              <w:rPr>
                <w:rFonts w:ascii="Times New Roman" w:hAnsi="Times New Roman" w:cs="Times New Roman"/>
                <w:sz w:val="20"/>
                <w:szCs w:val="20"/>
                <w:lang w:val="pl-PL"/>
              </w:rPr>
              <w:t xml:space="preserve"> Zoli, </w:t>
            </w:r>
            <w:proofErr w:type="spellStart"/>
            <w:r w:rsidRPr="00F24910">
              <w:rPr>
                <w:rFonts w:ascii="Times New Roman" w:hAnsi="Times New Roman" w:cs="Times New Roman"/>
                <w:sz w:val="20"/>
                <w:szCs w:val="20"/>
                <w:lang w:val="pl-PL"/>
              </w:rPr>
              <w:t>Honoré</w:t>
            </w:r>
            <w:proofErr w:type="spellEnd"/>
            <w:r w:rsidRPr="00F24910">
              <w:rPr>
                <w:rFonts w:ascii="Times New Roman" w:hAnsi="Times New Roman" w:cs="Times New Roman"/>
                <w:sz w:val="20"/>
                <w:szCs w:val="20"/>
                <w:lang w:val="pl-PL"/>
              </w:rPr>
              <w:t xml:space="preserve"> de Balzaca, Wiktora Hugo, Claude’a Moneta, Pabla Picassa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cechy charakterystyczne pozytywizmu</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cechy kultury masowej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scjentyzm, realizm, naturalizm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Augusta Comte’a, Fiodora Dostojewskiego, Augusta Renoira, Vincenta van Gogha, Augusta Rodina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cechy charakterystyczne scjentyzmu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nowe nurty w sztuce drugiej połowy XIX i początków XX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zjawiska i procesy wpłynęły na rozwój kultury masowej</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postimpresjonizm, historyzm,  symbolizm,</w:t>
            </w:r>
            <w:r w:rsidRPr="00F24910">
              <w:rPr>
                <w:rFonts w:ascii="Times New Roman" w:hAnsi="Times New Roman" w:cs="Times New Roman"/>
                <w:sz w:val="20"/>
                <w:szCs w:val="20"/>
                <w:lang w:val="pl-PL"/>
              </w:rPr>
              <w:t xml:space="preserve"> </w:t>
            </w:r>
            <w:r w:rsidRPr="00F24910">
              <w:rPr>
                <w:rFonts w:ascii="Times New Roman" w:hAnsi="Times New Roman" w:cs="Times New Roman"/>
                <w:i/>
                <w:sz w:val="20"/>
                <w:szCs w:val="20"/>
                <w:lang w:val="pl-PL"/>
              </w:rPr>
              <w:t>kubizm,</w:t>
            </w:r>
            <w:r w:rsidRPr="00F24910">
              <w:rPr>
                <w:rFonts w:ascii="Times New Roman" w:hAnsi="Times New Roman" w:cs="Times New Roman"/>
                <w:sz w:val="20"/>
                <w:szCs w:val="20"/>
                <w:lang w:val="pl-PL"/>
              </w:rPr>
              <w:t xml:space="preserve"> </w:t>
            </w:r>
            <w:r w:rsidRPr="00F24910">
              <w:rPr>
                <w:rFonts w:ascii="Times New Roman" w:hAnsi="Times New Roman" w:cs="Times New Roman"/>
                <w:i/>
                <w:sz w:val="20"/>
                <w:szCs w:val="20"/>
                <w:lang w:val="pl-PL"/>
              </w:rPr>
              <w:t>idea olimpizmu, skauting</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Charlesa Dickensa, Lwa Tołstoja, Antona Czechowa, Josepha Conrada, </w:t>
            </w:r>
            <w:proofErr w:type="spellStart"/>
            <w:r w:rsidRPr="00F24910">
              <w:rPr>
                <w:rFonts w:ascii="Times New Roman" w:hAnsi="Times New Roman" w:cs="Times New Roman"/>
                <w:sz w:val="20"/>
                <w:szCs w:val="20"/>
                <w:lang w:val="pl-PL"/>
              </w:rPr>
              <w:t>Édouarda</w:t>
            </w:r>
            <w:proofErr w:type="spellEnd"/>
            <w:r w:rsidRPr="00F24910">
              <w:rPr>
                <w:rFonts w:ascii="Times New Roman" w:hAnsi="Times New Roman" w:cs="Times New Roman"/>
                <w:sz w:val="20"/>
                <w:szCs w:val="20"/>
                <w:lang w:val="pl-PL"/>
              </w:rPr>
              <w:t xml:space="preserve"> Maneta, Paula Gauguina, Paula Cézanne’a, Augusta i Louisa </w:t>
            </w:r>
            <w:proofErr w:type="spellStart"/>
            <w:r w:rsidRPr="00F24910">
              <w:rPr>
                <w:rFonts w:ascii="Times New Roman" w:hAnsi="Times New Roman" w:cs="Times New Roman"/>
                <w:sz w:val="20"/>
                <w:szCs w:val="20"/>
                <w:lang w:val="pl-PL"/>
              </w:rPr>
              <w:t>Lumière</w:t>
            </w:r>
            <w:proofErr w:type="spellEnd"/>
            <w:r w:rsidRPr="00F24910">
              <w:rPr>
                <w:rFonts w:ascii="Times New Roman" w:hAnsi="Times New Roman" w:cs="Times New Roman"/>
                <w:sz w:val="20"/>
                <w:szCs w:val="20"/>
                <w:lang w:val="pl-PL"/>
              </w:rPr>
              <w:t>, Gustawa Klimta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problematykę literatury pozytywistycznej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sztukę i architekturę drugiej połowy XIX i początków XX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wyjaśnia, dlaczego impresjonizm stanowił przewrót w XIX-wiecznym malarstwie europejskim </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identyfikuje postacie Marka Twaina, Jacka Londona, Carla Collodiego, Edmonda de Amicisa, </w:t>
            </w:r>
            <w:proofErr w:type="spellStart"/>
            <w:r w:rsidRPr="00F24910">
              <w:rPr>
                <w:rFonts w:ascii="Times New Roman" w:hAnsi="Times New Roman" w:cs="Times New Roman"/>
                <w:sz w:val="20"/>
                <w:szCs w:val="20"/>
                <w:lang w:val="pl-PL"/>
              </w:rPr>
              <w:t>Berthe</w:t>
            </w:r>
            <w:proofErr w:type="spellEnd"/>
            <w:r w:rsidRPr="00F24910">
              <w:rPr>
                <w:rFonts w:ascii="Times New Roman" w:hAnsi="Times New Roman" w:cs="Times New Roman"/>
                <w:sz w:val="20"/>
                <w:szCs w:val="20"/>
                <w:lang w:val="pl-PL"/>
              </w:rPr>
              <w:t xml:space="preserve"> </w:t>
            </w:r>
            <w:proofErr w:type="spellStart"/>
            <w:r w:rsidRPr="00F24910">
              <w:rPr>
                <w:rFonts w:ascii="Times New Roman" w:hAnsi="Times New Roman" w:cs="Times New Roman"/>
                <w:sz w:val="20"/>
                <w:szCs w:val="20"/>
                <w:lang w:val="pl-PL"/>
              </w:rPr>
              <w:t>Morisot</w:t>
            </w:r>
            <w:proofErr w:type="spellEnd"/>
            <w:r w:rsidRPr="00F24910">
              <w:rPr>
                <w:rFonts w:ascii="Times New Roman" w:hAnsi="Times New Roman" w:cs="Times New Roman"/>
                <w:sz w:val="20"/>
                <w:szCs w:val="20"/>
                <w:lang w:val="pl-PL"/>
              </w:rPr>
              <w:t xml:space="preserve">, </w:t>
            </w:r>
            <w:proofErr w:type="spellStart"/>
            <w:r w:rsidRPr="00F24910">
              <w:rPr>
                <w:rFonts w:ascii="Times New Roman" w:hAnsi="Times New Roman" w:cs="Times New Roman"/>
                <w:sz w:val="20"/>
                <w:szCs w:val="20"/>
                <w:lang w:val="pl-PL"/>
              </w:rPr>
              <w:t>Camille</w:t>
            </w:r>
            <w:proofErr w:type="spellEnd"/>
            <w:r w:rsidRPr="00F24910">
              <w:rPr>
                <w:rFonts w:ascii="Times New Roman" w:hAnsi="Times New Roman" w:cs="Times New Roman"/>
                <w:sz w:val="20"/>
                <w:szCs w:val="20"/>
                <w:lang w:val="pl-PL"/>
              </w:rPr>
              <w:t xml:space="preserve"> Claudel, Georges’a </w:t>
            </w:r>
            <w:proofErr w:type="spellStart"/>
            <w:r w:rsidRPr="00F24910">
              <w:rPr>
                <w:rFonts w:ascii="Times New Roman" w:hAnsi="Times New Roman" w:cs="Times New Roman"/>
                <w:sz w:val="20"/>
                <w:szCs w:val="20"/>
                <w:lang w:val="pl-PL"/>
              </w:rPr>
              <w:t>Braque’a</w:t>
            </w:r>
            <w:proofErr w:type="spellEnd"/>
            <w:r w:rsidRPr="00F24910">
              <w:rPr>
                <w:rFonts w:ascii="Times New Roman" w:hAnsi="Times New Roman" w:cs="Times New Roman"/>
                <w:sz w:val="20"/>
                <w:szCs w:val="20"/>
                <w:lang w:val="pl-PL"/>
              </w:rPr>
              <w:t>, Pierre’a de Coubertina, Roberta Baden-Powella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jak zmieniło się podejście XIX-wiecznego społeczeństwa do sposobów spędzania wolnego czasu przez dorosłych i młodzież</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jakie znaczenie miał wzrost popularności kultury fizycznej w XIX w.</w:t>
            </w:r>
          </w:p>
        </w:tc>
      </w:tr>
      <w:tr w:rsidR="00F24910" w:rsidRPr="001D2EE5" w:rsidTr="00E1793C">
        <w:trPr>
          <w:trHeight w:val="340"/>
        </w:trPr>
        <w:tc>
          <w:tcPr>
            <w:tcW w:w="15014"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b/>
                <w:sz w:val="20"/>
                <w:szCs w:val="20"/>
                <w:lang w:val="pl-PL"/>
              </w:rPr>
              <w:t>Rozdział IV. Ziemie polskie w drugiej połowie XIX wieku</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Powstanie </w:t>
            </w:r>
            <w:r w:rsidRPr="00F24910">
              <w:rPr>
                <w:rFonts w:ascii="Times New Roman" w:hAnsi="Times New Roman" w:cs="Times New Roman"/>
                <w:sz w:val="20"/>
                <w:szCs w:val="20"/>
                <w:lang w:val="pl-PL"/>
              </w:rPr>
              <w:br/>
              <w:t>styczniowe</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Geneza powstania styczniowego</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Wybuch powstania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Przebieg walk powstańczych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Powstanie styczniowe na arenie międzynarodowej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Upadek powstania</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stosuje pojęcie</w:t>
            </w:r>
            <w:r w:rsidRPr="00F24910">
              <w:rPr>
                <w:rFonts w:ascii="Times New Roman" w:hAnsi="Times New Roman" w:cs="Times New Roman"/>
                <w:i/>
                <w:sz w:val="20"/>
                <w:szCs w:val="20"/>
                <w:lang w:val="pl-PL"/>
              </w:rPr>
              <w:t xml:space="preserve"> polskie państwo podziemne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wybuch powstania styczniowego i ogłoszenie manifestu Tymczasowego Rządu Narodowego (22 I 1863), objęcie władzy nad powstaniem przez Romualda Traugutta (X 1863)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Romualda Traugutta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przyczyny powstania styczniowego</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„biali”, „czerwoni”, branka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brankę (14/15 I 1863), wydanie ukazu o uwłaszczeniu (1864), śmierć Romualda Traugutta (VIII 1864)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tereny, które były objęte działaniami polskich partyzantów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Aleksandra Wielopolskiego, Ludwika Mierosławskiego, Stefana Bobrowskiego, Mariana Langiewicza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poglądy „białych” i „czerwonych” na kwestię niepodległości Polski</w:t>
            </w:r>
            <w:r w:rsidRPr="00F24910">
              <w:rPr>
                <w:rFonts w:ascii="Times New Roman" w:hAnsi="Times New Roman" w:cs="Times New Roman"/>
                <w:sz w:val="20"/>
                <w:szCs w:val="20"/>
                <w:lang w:val="pl-PL"/>
              </w:rPr>
              <w:br/>
              <w:t xml:space="preserve">- wymienia wydarzenia, </w:t>
            </w:r>
            <w:r w:rsidRPr="00F24910">
              <w:rPr>
                <w:rFonts w:ascii="Times New Roman" w:hAnsi="Times New Roman" w:cs="Times New Roman"/>
                <w:sz w:val="20"/>
                <w:szCs w:val="20"/>
                <w:lang w:val="pl-PL"/>
              </w:rPr>
              <w:lastRenderedPageBreak/>
              <w:t>które miały wpływ na upadek powstania styczniowego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okoliczności wybuchu powstania styczniowego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postulaty ogłoszone w Manifeście Tymczasowego Rządu Narodowego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przebieg walk powstańczych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okoliczności upadku powstania styczniowego</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 xml:space="preserve">odwilż </w:t>
            </w:r>
            <w:proofErr w:type="spellStart"/>
            <w:r w:rsidRPr="00F24910">
              <w:rPr>
                <w:rFonts w:ascii="Times New Roman" w:hAnsi="Times New Roman" w:cs="Times New Roman"/>
                <w:i/>
                <w:sz w:val="20"/>
                <w:szCs w:val="20"/>
                <w:lang w:val="pl-PL"/>
              </w:rPr>
              <w:t>posewastopolska</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manifestację na placu</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Zamkowym (IV 1861), powołanie Rządu Cywilnego (VI 1862), podpisanie konwencji </w:t>
            </w:r>
            <w:proofErr w:type="spellStart"/>
            <w:r w:rsidRPr="00F24910">
              <w:rPr>
                <w:rFonts w:ascii="Times New Roman" w:hAnsi="Times New Roman" w:cs="Times New Roman"/>
                <w:sz w:val="20"/>
                <w:szCs w:val="20"/>
                <w:lang w:val="pl-PL"/>
              </w:rPr>
              <w:t>Alvenslebena</w:t>
            </w:r>
            <w:proofErr w:type="spellEnd"/>
            <w:r w:rsidRPr="00F24910">
              <w:rPr>
                <w:rFonts w:ascii="Times New Roman" w:hAnsi="Times New Roman" w:cs="Times New Roman"/>
                <w:sz w:val="20"/>
                <w:szCs w:val="20"/>
                <w:lang w:val="pl-PL"/>
              </w:rPr>
              <w:t xml:space="preserve"> (II 1863), powstanie Rządu Narodowego (V 1863)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Andrzeja Zamoyskiego, Leopolda Kronenberga, Jarosława Dąbrowskiego, Zygmunta </w:t>
            </w:r>
            <w:proofErr w:type="spellStart"/>
            <w:r w:rsidRPr="00F24910">
              <w:rPr>
                <w:rFonts w:ascii="Times New Roman" w:hAnsi="Times New Roman" w:cs="Times New Roman"/>
                <w:sz w:val="20"/>
                <w:szCs w:val="20"/>
                <w:lang w:val="pl-PL"/>
              </w:rPr>
              <w:t>Padlewskiego</w:t>
            </w:r>
            <w:proofErr w:type="spellEnd"/>
            <w:r w:rsidRPr="00F24910">
              <w:rPr>
                <w:rFonts w:ascii="Times New Roman" w:hAnsi="Times New Roman" w:cs="Times New Roman"/>
                <w:sz w:val="20"/>
                <w:szCs w:val="20"/>
                <w:lang w:val="pl-PL"/>
              </w:rPr>
              <w:t>, Zygmunta Felińskiego, Teodora Berga, Michaiła Murawjowa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politykę Aleksandra Wielopolskiego w Królestwie Polskim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wyjaśnia, co dla mieszkańców Królestwa Polskiego przyniosła odwilż </w:t>
            </w:r>
            <w:proofErr w:type="spellStart"/>
            <w:r w:rsidRPr="00F24910">
              <w:rPr>
                <w:rFonts w:ascii="Times New Roman" w:hAnsi="Times New Roman" w:cs="Times New Roman"/>
                <w:sz w:val="20"/>
                <w:szCs w:val="20"/>
                <w:lang w:val="pl-PL"/>
              </w:rPr>
              <w:t>posewastopolska</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sytuację w Królestwie Polskim przed wybuchem powstania styczniowego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jaki sposób rozwiązania sprawy chłopskiej zaproponowano w Manifeście Tymczasowego Rządu Narodowego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do kogo Tymczasowy Rząd Narodowy apelował </w:t>
            </w:r>
            <w:r w:rsidRPr="00F24910">
              <w:rPr>
                <w:rFonts w:ascii="Times New Roman" w:hAnsi="Times New Roman" w:cs="Times New Roman"/>
                <w:sz w:val="20"/>
                <w:szCs w:val="20"/>
                <w:lang w:val="pl-PL"/>
              </w:rPr>
              <w:br/>
              <w:t>o wspólną walkę przeciwko zaborcy</w:t>
            </w:r>
            <w:r w:rsidRPr="00F24910">
              <w:rPr>
                <w:rFonts w:ascii="Times New Roman" w:hAnsi="Times New Roman" w:cs="Times New Roman"/>
                <w:sz w:val="20"/>
                <w:szCs w:val="20"/>
                <w:lang w:val="pl-PL"/>
              </w:rPr>
              <w:br/>
              <w:t xml:space="preserve">- omawia sposób organizacji i funkcjonowania polskiego państwa podziemnego- omawia rolę, jaką odegrał Romuald Traugutt w powstaniu styczniowym </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wprowadzenie stanu wojennego (X 1861), powstanie Komitetu Miejskiego (X 1861), powstanie Dyrekcji krajowej (XII 1861)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Francesca Nulla, Françoisa de </w:t>
            </w:r>
            <w:proofErr w:type="spellStart"/>
            <w:r w:rsidRPr="00F24910">
              <w:rPr>
                <w:rFonts w:ascii="Times New Roman" w:hAnsi="Times New Roman" w:cs="Times New Roman"/>
                <w:sz w:val="20"/>
                <w:szCs w:val="20"/>
                <w:lang w:val="pl-PL"/>
              </w:rPr>
              <w:t>Rochebrune’a</w:t>
            </w:r>
            <w:proofErr w:type="spellEnd"/>
            <w:r w:rsidRPr="00F24910">
              <w:rPr>
                <w:rFonts w:ascii="Times New Roman" w:hAnsi="Times New Roman" w:cs="Times New Roman"/>
                <w:sz w:val="20"/>
                <w:szCs w:val="20"/>
                <w:lang w:val="pl-PL"/>
              </w:rPr>
              <w:t>, Andrieja Potebni, Józefa Haukego-Bosaka, Stanisława Brzóski, Aleksandra Waszkowskiego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co miało wpływ na odżycie idei niepodległościowych na przełomie lat 50. i 60. XIX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wpływ polityki Aleksandra Wielopolskiego na </w:t>
            </w:r>
            <w:r w:rsidRPr="00F24910">
              <w:rPr>
                <w:rFonts w:ascii="Times New Roman" w:hAnsi="Times New Roman" w:cs="Times New Roman"/>
                <w:sz w:val="20"/>
                <w:szCs w:val="20"/>
                <w:lang w:val="pl-PL"/>
              </w:rPr>
              <w:lastRenderedPageBreak/>
              <w:t>radykalizację nastrojów w Królestwie Polskim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porównuje i ocenia programy „białych” i „czerwonych”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kto i dlaczego poparł lub potępił powstanie styczniowe</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stosunek opinii międzynarodowej do powstania styczniowego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przebieg i skutki wydarzeń związanych z powstaniem styczniowym w swoim regionie</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Zabór rosyjski po powstaniu styczniowym</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Przyczyny upadku powstania styczniowego</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Znaczenie powstania styczniowego</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lastRenderedPageBreak/>
              <w:t>Represje po upadku powstania styczniowego</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Postawy Polaków wobec zaborców</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pozytywizm warszawski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przyczyny upadku powstania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wymienia represje władzy carskiej wobec polskiego szkolnictwa</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 xml:space="preserve">noc </w:t>
            </w:r>
            <w:proofErr w:type="spellStart"/>
            <w:r w:rsidRPr="00F24910">
              <w:rPr>
                <w:rFonts w:ascii="Times New Roman" w:hAnsi="Times New Roman" w:cs="Times New Roman"/>
                <w:i/>
                <w:sz w:val="20"/>
                <w:szCs w:val="20"/>
                <w:lang w:val="pl-PL"/>
              </w:rPr>
              <w:t>apuchtinowska</w:t>
            </w:r>
            <w:proofErr w:type="spellEnd"/>
            <w:r w:rsidRPr="00F24910">
              <w:rPr>
                <w:rFonts w:ascii="Times New Roman" w:hAnsi="Times New Roman" w:cs="Times New Roman"/>
                <w:i/>
                <w:sz w:val="20"/>
                <w:szCs w:val="20"/>
                <w:lang w:val="pl-PL"/>
              </w:rPr>
              <w:t>, lojalizm, trójlojalizm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wprowadzenie urzędu </w:t>
            </w:r>
            <w:r w:rsidRPr="00F24910">
              <w:rPr>
                <w:rFonts w:ascii="Times New Roman" w:hAnsi="Times New Roman" w:cs="Times New Roman"/>
                <w:sz w:val="20"/>
                <w:szCs w:val="20"/>
                <w:lang w:val="pl-PL"/>
              </w:rPr>
              <w:lastRenderedPageBreak/>
              <w:t xml:space="preserve">generał-gubernatora (1874), początek nocy </w:t>
            </w:r>
            <w:proofErr w:type="spellStart"/>
            <w:r w:rsidRPr="00F24910">
              <w:rPr>
                <w:rFonts w:ascii="Times New Roman" w:hAnsi="Times New Roman" w:cs="Times New Roman"/>
                <w:sz w:val="20"/>
                <w:szCs w:val="20"/>
                <w:lang w:val="pl-PL"/>
              </w:rPr>
              <w:t>apuchtinowskiej</w:t>
            </w:r>
            <w:proofErr w:type="spellEnd"/>
            <w:r w:rsidRPr="00F24910">
              <w:rPr>
                <w:rFonts w:ascii="Times New Roman" w:hAnsi="Times New Roman" w:cs="Times New Roman"/>
                <w:sz w:val="20"/>
                <w:szCs w:val="20"/>
                <w:lang w:val="pl-PL"/>
              </w:rPr>
              <w:t xml:space="preserve"> (1879)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znaczenie miało powstanie styczniowe dla walk Polaków o niepodległość</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represje wobec uczestników powstania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represje wobec Królestwa Polskiego</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tajne komplety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utworzenie Komitetu Urządzającego (1864), </w:t>
            </w:r>
            <w:r w:rsidRPr="00F24910">
              <w:rPr>
                <w:rFonts w:ascii="Times New Roman" w:hAnsi="Times New Roman" w:cs="Times New Roman"/>
                <w:sz w:val="20"/>
                <w:szCs w:val="20"/>
                <w:lang w:val="pl-PL"/>
              </w:rPr>
              <w:lastRenderedPageBreak/>
              <w:t>wprowadzenie j. rosyjskiego jako urzędowego (1866)</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likwidację Banku Polskiego (1885), założenie Uniwersytetu Latającego (1885), likwidację Szkoły Głównej (1869)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Władysława Czartoryskiego, Jarosława Dąbrowskiego, Jadwigę </w:t>
            </w:r>
            <w:proofErr w:type="spellStart"/>
            <w:r w:rsidRPr="00F24910">
              <w:rPr>
                <w:rFonts w:ascii="Times New Roman" w:hAnsi="Times New Roman" w:cs="Times New Roman"/>
                <w:sz w:val="20"/>
                <w:szCs w:val="20"/>
                <w:lang w:val="pl-PL"/>
              </w:rPr>
              <w:t>Szczawińską-Dawidową</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 sposób Polacy wyrażali postawę opozycyjną wobec polityki władz zaborczych po powstaniu styczniowym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 sposób represje popowstaniowe wpłynęły na życie Polaków pod zaborem rosyjskim - omawia postawy Polaków wobec rosyjskich represji po upadku powstania styczniowego</w:t>
            </w:r>
            <w:r w:rsidRPr="00F24910">
              <w:rPr>
                <w:rFonts w:ascii="Times New Roman" w:hAnsi="Times New Roman" w:cs="Times New Roman"/>
                <w:sz w:val="20"/>
                <w:szCs w:val="20"/>
                <w:lang w:val="pl-PL"/>
              </w:rPr>
              <w:br/>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powstanie zabajkalskie (1866), rozpoczęcie likwidacji Kościoła unickiego (1875), </w:t>
            </w:r>
            <w:r w:rsidRPr="00F24910">
              <w:rPr>
                <w:rFonts w:ascii="Times New Roman" w:hAnsi="Times New Roman" w:cs="Times New Roman"/>
                <w:sz w:val="20"/>
                <w:szCs w:val="20"/>
                <w:lang w:val="pl-PL"/>
              </w:rPr>
              <w:lastRenderedPageBreak/>
              <w:t>powstanie Zjednoczenia Emigracji Polskiej (1866)</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dlaczego stanowisko pozytywistów warszawskich było bardziej popularne od postawy </w:t>
            </w:r>
            <w:proofErr w:type="spellStart"/>
            <w:r w:rsidRPr="00F24910">
              <w:rPr>
                <w:rFonts w:ascii="Times New Roman" w:hAnsi="Times New Roman" w:cs="Times New Roman"/>
                <w:sz w:val="20"/>
                <w:szCs w:val="20"/>
                <w:lang w:val="pl-PL"/>
              </w:rPr>
              <w:t>trójlojalistycznej</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położenie Kościoła katolickiego i unickiego po powstaniu styczniowym</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postawy Polaków wobec zaborców po powstaniu styczniowym</w:t>
            </w:r>
          </w:p>
          <w:p w:rsidR="00F24910" w:rsidRPr="00F24910" w:rsidRDefault="00F24910" w:rsidP="00F24910">
            <w:pPr>
              <w:rPr>
                <w:rFonts w:ascii="Times New Roman" w:hAnsi="Times New Roman" w:cs="Times New Roman"/>
                <w:sz w:val="20"/>
                <w:szCs w:val="20"/>
                <w:lang w:val="pl-PL"/>
              </w:rPr>
            </w:pPr>
          </w:p>
        </w:tc>
      </w:tr>
      <w:tr w:rsidR="00F24910" w:rsidRPr="001D2EE5" w:rsidTr="00E1793C">
        <w:trPr>
          <w:trHeight w:val="274"/>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Sytuacja w zaborze pruskim i austriackim</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Germanizacyjna polityka władz niemieckich </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Postawy Polaków wobec germanizacji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 walce o polskość</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Polityka władz austriackich i postawy Polaków wobec niej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Autonomia galicyjska</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germanizacja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początek strajku dzieci polskich we Wrześni (1901),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Michała Drzymały</w:t>
            </w:r>
            <w:r w:rsidRPr="00F24910" w:rsidDel="0051039F">
              <w:rPr>
                <w:rFonts w:ascii="Times New Roman" w:hAnsi="Times New Roman" w:cs="Times New Roman"/>
                <w:sz w:val="20"/>
                <w:szCs w:val="20"/>
                <w:lang w:val="pl-PL"/>
              </w:rPr>
              <w:t xml:space="preserv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decyzje władz pruskich zmierzające do germanizacji szkolnictwa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działania Polaków, które były przykładem walki z germanizacją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instytucje życia politycznego, społecznego i kulturalnego, które były przejawem autonomii galicyjskiej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Kulturkampf, rugi pruskie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Kulturkampf (1871–1878), powstanie Komisji Kolonizacyjnej (1886), rugi pruskie (1885–1890), powstanie Hakaty (1894),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Mieczysława Ledóchowskiego, Piotra Wawrzyniaka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politykę kulturkampfu w zaborze pruskim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 sposób władze pruskie walczyły z polskością w sferze ekonomicznej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postawy Polaków wobec germanizacji szkolnictwa i życia gospodarczego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okoliczności wprowadzenia autonomii w Galicji</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stańczycy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wprowadzenie j. niemieckiego jako urzędowego w zaborze pruskim (1876), nadanie Galicji autonomii (1867), uchwalenie noweli osadniczej (1904), strajk szkolny w Wielkopolsce (1906), ustawę kagańcową (1908), ustawę wywłaszczeniową (1908), wprowadzenia j. polskiego jako urzędowego w Galicji (1859), powołanie Sejmu Krajowego (1861), powstanie Rady Szkolnej Krajowej (1867)</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Ferdynanda </w:t>
            </w:r>
            <w:proofErr w:type="spellStart"/>
            <w:r w:rsidRPr="00F24910">
              <w:rPr>
                <w:rFonts w:ascii="Times New Roman" w:hAnsi="Times New Roman" w:cs="Times New Roman"/>
                <w:sz w:val="20"/>
                <w:szCs w:val="20"/>
                <w:lang w:val="pl-PL"/>
              </w:rPr>
              <w:t>Hansemanna</w:t>
            </w:r>
            <w:proofErr w:type="spellEnd"/>
            <w:r w:rsidRPr="00F24910">
              <w:rPr>
                <w:rFonts w:ascii="Times New Roman" w:hAnsi="Times New Roman" w:cs="Times New Roman"/>
                <w:sz w:val="20"/>
                <w:szCs w:val="20"/>
                <w:lang w:val="pl-PL"/>
              </w:rPr>
              <w:t xml:space="preserve">, Hermanna </w:t>
            </w:r>
            <w:proofErr w:type="spellStart"/>
            <w:r w:rsidRPr="00F24910">
              <w:rPr>
                <w:rFonts w:ascii="Times New Roman" w:hAnsi="Times New Roman" w:cs="Times New Roman"/>
                <w:sz w:val="20"/>
                <w:szCs w:val="20"/>
                <w:lang w:val="pl-PL"/>
              </w:rPr>
              <w:t>Kennemanna</w:t>
            </w:r>
            <w:proofErr w:type="spellEnd"/>
            <w:r w:rsidRPr="00F24910">
              <w:rPr>
                <w:rFonts w:ascii="Times New Roman" w:hAnsi="Times New Roman" w:cs="Times New Roman"/>
                <w:sz w:val="20"/>
                <w:szCs w:val="20"/>
                <w:lang w:val="pl-PL"/>
              </w:rPr>
              <w:t xml:space="preserve">, Henryka </w:t>
            </w:r>
            <w:proofErr w:type="spellStart"/>
            <w:r w:rsidRPr="00F24910">
              <w:rPr>
                <w:rFonts w:ascii="Times New Roman" w:hAnsi="Times New Roman" w:cs="Times New Roman"/>
                <w:sz w:val="20"/>
                <w:szCs w:val="20"/>
                <w:lang w:val="pl-PL"/>
              </w:rPr>
              <w:t>Tiedemanna</w:t>
            </w:r>
            <w:proofErr w:type="spellEnd"/>
            <w:r w:rsidRPr="00F24910">
              <w:rPr>
                <w:rFonts w:ascii="Times New Roman" w:hAnsi="Times New Roman" w:cs="Times New Roman"/>
                <w:sz w:val="20"/>
                <w:szCs w:val="20"/>
                <w:lang w:val="pl-PL"/>
              </w:rPr>
              <w:t>, Agenora Gołuchowskiego, Kazimierza Badeniego, Józefa Szujskiego, Stanisława Tarnowskiego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jaką rolę odgrywała Hakata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wyjaśnia, dlaczego walkę Polaków z germanizacją w zaborze pruskim nazywa się najdłuższą wojną nowoczesnej Europy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przedstawia poglądy konserwatystów krakowskich zwanych stańczykami </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sz w:val="20"/>
                <w:szCs w:val="20"/>
                <w:lang w:val="pl-PL"/>
              </w:rPr>
              <w:br/>
            </w:r>
            <w:r w:rsidRPr="00F24910">
              <w:rPr>
                <w:rFonts w:ascii="Times New Roman" w:hAnsi="Times New Roman" w:cs="Times New Roman"/>
                <w:i/>
                <w:sz w:val="20"/>
                <w:szCs w:val="20"/>
                <w:lang w:val="pl-PL"/>
              </w:rPr>
              <w:t>wiryliści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powstanie Towarzystwa Przyjaciół Wzajemnego Pouczania się i Opieki nad Dziećmi „Warta” (1894)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Floriana Stablewskiego, Anieli </w:t>
            </w:r>
            <w:proofErr w:type="spellStart"/>
            <w:r w:rsidRPr="00F24910">
              <w:rPr>
                <w:rFonts w:ascii="Times New Roman" w:hAnsi="Times New Roman" w:cs="Times New Roman"/>
                <w:sz w:val="20"/>
                <w:szCs w:val="20"/>
                <w:lang w:val="pl-PL"/>
              </w:rPr>
              <w:t>Tułodzieckiej</w:t>
            </w:r>
            <w:proofErr w:type="spellEnd"/>
            <w:r w:rsidRPr="00F24910">
              <w:rPr>
                <w:rFonts w:ascii="Times New Roman" w:hAnsi="Times New Roman" w:cs="Times New Roman"/>
                <w:sz w:val="20"/>
                <w:szCs w:val="20"/>
                <w:lang w:val="pl-PL"/>
              </w:rPr>
              <w:t xml:space="preserve">, Floriana Ceynowy, Hieronima Derdowskiego, Walentego Barczewskiego, Antoniego </w:t>
            </w:r>
            <w:proofErr w:type="spellStart"/>
            <w:r w:rsidRPr="00F24910">
              <w:rPr>
                <w:rFonts w:ascii="Times New Roman" w:hAnsi="Times New Roman" w:cs="Times New Roman"/>
                <w:sz w:val="20"/>
                <w:szCs w:val="20"/>
                <w:lang w:val="pl-PL"/>
              </w:rPr>
              <w:t>Wolszlegiera</w:t>
            </w:r>
            <w:proofErr w:type="spellEnd"/>
            <w:r w:rsidRPr="00F24910">
              <w:rPr>
                <w:rFonts w:ascii="Times New Roman" w:hAnsi="Times New Roman" w:cs="Times New Roman"/>
                <w:sz w:val="20"/>
                <w:szCs w:val="20"/>
                <w:lang w:val="pl-PL"/>
              </w:rPr>
              <w:t>, Jana Liszewskiego, Wojciecha Kętrzyńskiego, Karola Miarki, Franciszka Smolki, Kazimierza Grocholskiego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działalność Polaków walczących o polskość Warmii, Mazur, Górnego Śląska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i Pomorza Gdańskiego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przyczyny łagodzenia polityki władz </w:t>
            </w:r>
            <w:r w:rsidRPr="00F24910">
              <w:rPr>
                <w:rFonts w:ascii="Times New Roman" w:hAnsi="Times New Roman" w:cs="Times New Roman"/>
                <w:sz w:val="20"/>
                <w:szCs w:val="20"/>
                <w:lang w:val="pl-PL"/>
              </w:rPr>
              <w:lastRenderedPageBreak/>
              <w:t>zaborczych wobec Polaków w Galicji</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postawy Polaków wobec germanizacji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rolę Galicji jako ostoi polskiego życia narodowego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Galicję nazywano polskim Piemontem</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Gospodarka </w:t>
            </w:r>
            <w:r w:rsidRPr="00F24910">
              <w:rPr>
                <w:rFonts w:ascii="Times New Roman" w:hAnsi="Times New Roman" w:cs="Times New Roman"/>
                <w:sz w:val="20"/>
                <w:szCs w:val="20"/>
                <w:lang w:val="pl-PL"/>
              </w:rPr>
              <w:br/>
              <w:t>i społeczeństwo ziem polskich</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Praca organiczna </w:t>
            </w:r>
            <w:r w:rsidRPr="00F24910">
              <w:rPr>
                <w:rFonts w:ascii="Times New Roman" w:hAnsi="Times New Roman" w:cs="Times New Roman"/>
                <w:iCs/>
                <w:sz w:val="20"/>
                <w:szCs w:val="20"/>
                <w:lang w:val="pl-PL"/>
              </w:rPr>
              <w:br/>
              <w:t>i praca u podstaw</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Rolnictwo w trzech zaborach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Rozwój przemysłu</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Przemiany społeczne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Asymilacja Żydów</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Emancypantki </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 xml:space="preserve">praca organiczna, praca </w:t>
            </w:r>
            <w:r w:rsidRPr="00F24910">
              <w:rPr>
                <w:rFonts w:ascii="Times New Roman" w:hAnsi="Times New Roman" w:cs="Times New Roman"/>
                <w:i/>
                <w:sz w:val="20"/>
                <w:szCs w:val="20"/>
                <w:lang w:val="pl-PL"/>
              </w:rPr>
              <w:br/>
              <w:t>u podstaw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powstanie Polskiej Macierzy Szkolnej (1905)</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postać, Hipolita Cegielskiego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cechy charakterystyczne pracy organicznej i pracy u podstaw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przykłady działań w zakresie pracy organicznej i pracy u podstaw we wszystkich trzech zaborach</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asymilacja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otwarcie Kolei Warszawsko-Wiedeńskiej (1845), wynalezienia lampy naftowej (1853)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Ignacego Łukasiewicza, Elizy Orzeszkowej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kierunki rozwoju przemysłu w Królestwie Polskim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jaką rolę gospodarczą i społeczną odgrywał okręg łódzki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postulaty i działania polskich emancypantek</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syjoniści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zniesienie granicy celnej między Rosją a Królestwem Polskim (1851)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Dezyderego Chłapowskiego, Karola Marcinkowskiego Franciszka Stefczyka, Narcyzy Żmichowskiej, Piotra Wawrzyniaka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przemiany w rolnictwie na ziemiach polskich w drugiej połowie XIX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opisuje rozwój przemysłu w zaborze pruskim i austriackim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przyczyny i skutki asymilacji Żydów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 wpływ na przemiany gospodarcze oraz społeczne i narodowe na polskiej wsi miało uwłaszczenie</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stosuje pojęcia</w:t>
            </w:r>
            <w:r w:rsidRPr="00F24910">
              <w:rPr>
                <w:rFonts w:ascii="Times New Roman" w:hAnsi="Times New Roman" w:cs="Times New Roman"/>
                <w:i/>
                <w:sz w:val="20"/>
                <w:szCs w:val="20"/>
                <w:lang w:val="pl-PL"/>
              </w:rPr>
              <w:t xml:space="preserve"> litwacy, sztetl, jidysz, Haskala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Gustawa Potworowskiego, Andrzeja Zamoyskiego, Ludwika Zamenhofa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porównuje rozwój rolnictwa we wszystkich trzech zaborach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przemiany społeczne na ziemiach polskich w drugiej połowie XIX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opisuje położenie mniejszości żydowskiej na ziemiach polskich w drugiej połowie XIX w.</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znaczenie pracy organicznej i pracy u podstaw dla kształtowania się nowoczesnego narodu polskiego</w:t>
            </w:r>
          </w:p>
          <w:p w:rsidR="00F24910" w:rsidRPr="00F24910" w:rsidRDefault="00F24910" w:rsidP="00F24910">
            <w:pPr>
              <w:rPr>
                <w:rFonts w:ascii="Times New Roman" w:hAnsi="Times New Roman" w:cs="Times New Roman"/>
                <w:sz w:val="20"/>
                <w:szCs w:val="20"/>
                <w:lang w:val="pl-PL"/>
              </w:rPr>
            </w:pP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Nowe nurty polityczne</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Ruch socjalistyczny na ziemiach polskich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Dwa nurty w polskim ruchu socjalistycznym</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Kształtowanie się ruchu narodowego</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Narodowa Demokracja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Rozwój ruchu ludowego na ziemiach polskich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Rewolucja 1905 roku w Rosji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Rewolucja 1905 roku na ziemiach polskich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Skutki rewolucji z lat 1905–1907 na ziemiach polskich </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rewolucje socjalistyczną (1905–1907)</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Józefa Piłsudskiego, Romana Dmowskiego, Wincentego Witosa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polskie partie polityczne reprezentujące ruch socjalistyczny, ludowy i narodowy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skutki rewolucji 1905–1907 na ziemiach polskich</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solidaryzm narodowy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działalność Wielkiego Proletariatu (1882-1885), powstanie Polskiej Partii Socjalistycznej (1892), powstanie Socjaldemokracji Królestwa Polskiego (1893), powstanie Ligi Narodowej (1893), powstanie Stronnictwa Ludowego (1895), założenie Stronnictwa Narodowo-Demokratycznego (1897), powstanie Polskiego Stronnictwa Ludowego (1903), krwawą niedzielę w Petersburgu (22 I 1905), strajki szkolne na ziemiach polskich (1905–1908)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 ,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identyfikuje postacie Ludwika Waryńskiego,  Bolesława Limanowskiego, Stanisława Wojciechowskiego, Ignacego Daszyńskiego, Wojciecha Korfantego, Mikołaja II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postulaty programowe polskiego ruchu socjalistycznego, ludowego i narodowego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doszło do wybuchu rewolucji 1905-1907 w Rosji i na ziemiach polskich</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serwituty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utworzenie Ligi Polskiej (1887), powstanie Polskiej Partii Socjalno-Demokratycznej Galicji i Śląska Cieszyńskiego (1897), powstanie robotnicze w Łodzi (VI 1905)</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Ludwika Kulczyckiego, Juliana Marchlewskiego, Róży Luksemburg, Zygmunta Balickiego, Stanisława Stojałowskiego, Marii i Bolesława Wysłouchów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proces budowania polskiego ruchu narodowego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okoliczności powstania ruchu ludowego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przebieg rewolucji 1905–1907 na ziemiach polskich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cele strajków szkolnych w latach 1905–1908</w:t>
            </w:r>
          </w:p>
          <w:p w:rsidR="00F24910" w:rsidRPr="00F24910" w:rsidRDefault="00F24910" w:rsidP="00F24910">
            <w:pPr>
              <w:rPr>
                <w:rFonts w:ascii="Times New Roman" w:hAnsi="Times New Roman" w:cs="Times New Roman"/>
                <w:sz w:val="20"/>
                <w:szCs w:val="20"/>
                <w:lang w:val="pl-PL"/>
              </w:rPr>
            </w:pP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rozłam w Polskiej Partii Socjalistycznej (1906), rozłam w Polskim Stronnictwie Ludowym (1913)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Aleksandra Sulkiewicza, Aleksandra Malinowskiego, Jana Ludwika Popławskiego, Zygmunta Miłkowskiego, Karola Lewakowskiego, Jana Stapińskiego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porównuje cele i założenia programowe PPS i SDKPiL</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rozwój partii socjalistycznych, narodowych i ludowych na ziemiach polskich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przestrzeni ośrodki wystąpień robotniczych w okresie </w:t>
            </w:r>
            <w:r w:rsidRPr="00F24910">
              <w:rPr>
                <w:rFonts w:ascii="Times New Roman" w:hAnsi="Times New Roman" w:cs="Times New Roman"/>
                <w:sz w:val="20"/>
                <w:szCs w:val="20"/>
                <w:lang w:val="pl-PL"/>
              </w:rPr>
              <w:lastRenderedPageBreak/>
              <w:t>rewolucji z lat 1905–1907</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skutki rewolucji 1905–1907 na ziemiach polskich</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Polska kultura i nauka przełomu XIX i XX wieku</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Polski pozytywizm</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Rola historii </w:t>
            </w:r>
            <w:r w:rsidRPr="00F24910">
              <w:rPr>
                <w:rFonts w:ascii="Times New Roman" w:hAnsi="Times New Roman" w:cs="Times New Roman"/>
                <w:iCs/>
                <w:sz w:val="20"/>
                <w:szCs w:val="20"/>
                <w:lang w:val="pl-PL"/>
              </w:rPr>
              <w:br/>
              <w:t>w polskiej kulturze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Młoda Polska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Malarstwo i rzeźba przełomu </w:t>
            </w:r>
            <w:r w:rsidRPr="00F24910">
              <w:rPr>
                <w:rFonts w:ascii="Times New Roman" w:hAnsi="Times New Roman" w:cs="Times New Roman"/>
                <w:iCs/>
                <w:sz w:val="20"/>
                <w:szCs w:val="20"/>
                <w:lang w:val="pl-PL"/>
              </w:rPr>
              <w:br/>
              <w:t>XIX i XX wieku</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Polska nauka w drugiej połowie </w:t>
            </w:r>
            <w:r w:rsidRPr="00F24910">
              <w:rPr>
                <w:rFonts w:ascii="Times New Roman" w:hAnsi="Times New Roman" w:cs="Times New Roman"/>
                <w:iCs/>
                <w:sz w:val="20"/>
                <w:szCs w:val="20"/>
                <w:lang w:val="pl-PL"/>
              </w:rPr>
              <w:br/>
              <w:t>XIX wieku</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lastRenderedPageBreak/>
              <w:t xml:space="preserve">Polscy naukowcy </w:t>
            </w:r>
            <w:r w:rsidRPr="00F24910">
              <w:rPr>
                <w:rFonts w:ascii="Times New Roman" w:hAnsi="Times New Roman" w:cs="Times New Roman"/>
                <w:iCs/>
                <w:sz w:val="20"/>
                <w:szCs w:val="20"/>
                <w:lang w:val="pl-PL"/>
              </w:rPr>
              <w:br/>
              <w:t>na świecie</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pozytywizm warszawski, Młoda Polska (modernizm)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pozytywizm w kulturze polskiej (1864–1890), okres Młodej Polski </w:t>
            </w:r>
            <w:r w:rsidRPr="00F24910">
              <w:rPr>
                <w:rFonts w:ascii="Times New Roman" w:hAnsi="Times New Roman" w:cs="Times New Roman"/>
                <w:sz w:val="20"/>
                <w:szCs w:val="20"/>
                <w:lang w:val="pl-PL"/>
              </w:rPr>
              <w:br/>
              <w:t>w kulturze polskiej (1890–1918)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Bolesława Prusa, Henryka Sienkiewicza, </w:t>
            </w:r>
            <w:r w:rsidRPr="00F24910">
              <w:rPr>
                <w:rFonts w:ascii="Times New Roman" w:hAnsi="Times New Roman" w:cs="Times New Roman"/>
                <w:sz w:val="20"/>
                <w:szCs w:val="20"/>
                <w:lang w:val="pl-PL"/>
              </w:rPr>
              <w:lastRenderedPageBreak/>
              <w:t>Jana Matejki, Marii Skłodowskiej-Curie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przykłady dzieł tworzonych „ku pokrzepieniu serc”</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malarstwo historyczne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Nagrodę Nobla z fizyki dla Marii Skłodowskiej-Curie (1903), Literacką Nagrodę Nobla dla Henryka Sienkiewicza (1905), Nagrodę Nobla z chemii dla Marii Skłodowskiej-Curie (1911)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identyfikuje postacie Elizy Orzeszkowej, Stefana Żeromskiego, Władysława Reymonta, Stanisława Wyspiańskiego, Ignacego Jana Paderewskiego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problematykę polskiej literatury pozytywistycznej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jaką rolę odgrywała historia w polskiej kulturze</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stosuje pojęcia</w:t>
            </w:r>
            <w:r w:rsidRPr="00F24910">
              <w:rPr>
                <w:rFonts w:ascii="Times New Roman" w:hAnsi="Times New Roman" w:cs="Times New Roman"/>
                <w:i/>
                <w:sz w:val="20"/>
                <w:szCs w:val="20"/>
                <w:lang w:val="pl-PL"/>
              </w:rPr>
              <w:t xml:space="preserve"> warszawska i krakowska szkoła historyczna, etnografia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Aleksandra Świętochowskiego, Marii Konopnickiej, Adama Asnyka, Juliusza i Wojciecha Kossaków, Stanisława Przybyszewskiego, Jana Kasprowicza, Kazimierza Przerwy-Tetmajera, </w:t>
            </w:r>
            <w:r w:rsidRPr="00F24910">
              <w:rPr>
                <w:rFonts w:ascii="Times New Roman" w:hAnsi="Times New Roman" w:cs="Times New Roman"/>
                <w:sz w:val="20"/>
                <w:szCs w:val="20"/>
                <w:lang w:val="pl-PL"/>
              </w:rPr>
              <w:lastRenderedPageBreak/>
              <w:t xml:space="preserve">Gabrieli Zapolskiej, Stanisława Witkiewicza, Jacka Malczewskiego, Leona Wyczółkowskiego, Józefa Mehoffera, Olgi </w:t>
            </w:r>
            <w:proofErr w:type="spellStart"/>
            <w:r w:rsidRPr="00F24910">
              <w:rPr>
                <w:rFonts w:ascii="Times New Roman" w:hAnsi="Times New Roman" w:cs="Times New Roman"/>
                <w:sz w:val="20"/>
                <w:szCs w:val="20"/>
                <w:lang w:val="pl-PL"/>
              </w:rPr>
              <w:t>Boznańskiej,Heleny</w:t>
            </w:r>
            <w:proofErr w:type="spellEnd"/>
            <w:r w:rsidRPr="00F24910">
              <w:rPr>
                <w:rFonts w:ascii="Times New Roman" w:hAnsi="Times New Roman" w:cs="Times New Roman"/>
                <w:sz w:val="20"/>
                <w:szCs w:val="20"/>
                <w:lang w:val="pl-PL"/>
              </w:rPr>
              <w:t xml:space="preserve"> Modrzejewskiej, Zygmunta Wróblewskiego, Karola Olszewskiego, Kazimierza Funka, Edmunda Biernackiego, Wacława Sierpińskiego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jaką rolę odgrywała inteligencja w okresie pozytywizmu</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cechy charakterystyczne literatury i sztuki okresu Młodej Polski</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neoromantyzm, bohema (cyganeria)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Juliana Ochorowicza, Michała Bobrzyńskiego, Józefa Szujskiego, Tadeusza Korzona, Władysława Smoleńskiego, Artura Górskiego, Tadeusza Micińskiego, Mieczysława </w:t>
            </w:r>
            <w:r w:rsidRPr="00F24910">
              <w:rPr>
                <w:rFonts w:ascii="Times New Roman" w:hAnsi="Times New Roman" w:cs="Times New Roman"/>
                <w:sz w:val="20"/>
                <w:szCs w:val="20"/>
                <w:lang w:val="pl-PL"/>
              </w:rPr>
              <w:lastRenderedPageBreak/>
              <w:t>Karłowicza, Feliksa Nowowiejskiego, Karola Szymanowskiego, Edmunda Strzeleckiego, Ernesta Malinowskiego, Ignacego Domeyki, Jana Czerskiego, Benedykta Dybowskiego, Rudolfa Modrzejewskiego, Bronisława Piłsudskiego, Kazimierza Prószyńskiego, Jana Szczepanika, Oskara Kolberga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porównuje poglądy krakowskiej i warszawskiej szkoły historycznej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dorobek polskich naukowców działających w drugiej połowie XIX i na początku XX w.</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wkład twórców okresu pozytywizmu i Młodej Polski w rozwój kultury narodowej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wkład polskich naukowców w rozwój państw ameryki południowej i badania nad środowiskiem przyrodniczym Syberii</w:t>
            </w:r>
          </w:p>
        </w:tc>
      </w:tr>
      <w:tr w:rsidR="00F24910" w:rsidRPr="001D2EE5" w:rsidTr="00E1793C">
        <w:trPr>
          <w:trHeight w:val="340"/>
        </w:trPr>
        <w:tc>
          <w:tcPr>
            <w:tcW w:w="15014"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b/>
                <w:sz w:val="20"/>
                <w:szCs w:val="20"/>
                <w:lang w:val="pl-PL"/>
              </w:rPr>
              <w:t>Rozdział V. I wojna światowa</w:t>
            </w:r>
          </w:p>
        </w:tc>
      </w:tr>
      <w:tr w:rsidR="00F24910" w:rsidRPr="001D2EE5" w:rsidTr="00E1793C">
        <w:trPr>
          <w:trHeight w:val="269"/>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Przyczyny światowego konfliktu</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Międzynarodowy układ sił</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Powstanie sojuszy</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Wojna rosyjsko-japońska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Wyścig zbrojeń</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lastRenderedPageBreak/>
              <w:t>Kocioł bałkański</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trójprzymierze,</w:t>
            </w:r>
            <w:r w:rsidRPr="00F24910">
              <w:rPr>
                <w:rFonts w:ascii="Times New Roman" w:hAnsi="Times New Roman" w:cs="Times New Roman"/>
                <w:sz w:val="20"/>
                <w:szCs w:val="20"/>
                <w:lang w:val="pl-PL"/>
              </w:rPr>
              <w:t xml:space="preserve"> </w:t>
            </w:r>
            <w:r w:rsidRPr="00F24910">
              <w:rPr>
                <w:rFonts w:ascii="Times New Roman" w:hAnsi="Times New Roman" w:cs="Times New Roman"/>
                <w:i/>
                <w:sz w:val="20"/>
                <w:szCs w:val="20"/>
                <w:lang w:val="pl-PL"/>
              </w:rPr>
              <w:t>trójporozumieniem (ententa)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wojnę japońsko-rosyjską (1904–1905)</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państwa wchodzące w skład trójprzymierza i trójporozumienia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ukształtowały się trójprzymierze i trójporozumienie</w:t>
            </w: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pojęcia </w:t>
            </w:r>
            <w:proofErr w:type="spellStart"/>
            <w:r w:rsidRPr="00F24910">
              <w:rPr>
                <w:rFonts w:ascii="Times New Roman" w:hAnsi="Times New Roman" w:cs="Times New Roman"/>
                <w:i/>
                <w:sz w:val="20"/>
                <w:szCs w:val="20"/>
                <w:lang w:val="pl-PL"/>
              </w:rPr>
              <w:t>belle</w:t>
            </w:r>
            <w:proofErr w:type="spellEnd"/>
            <w:r w:rsidRPr="00F24910">
              <w:rPr>
                <w:rFonts w:ascii="Times New Roman" w:hAnsi="Times New Roman" w:cs="Times New Roman"/>
                <w:i/>
                <w:sz w:val="20"/>
                <w:szCs w:val="20"/>
                <w:lang w:val="pl-PL"/>
              </w:rPr>
              <w:t xml:space="preserve"> </w:t>
            </w:r>
            <w:proofErr w:type="spellStart"/>
            <w:r w:rsidRPr="00F24910">
              <w:rPr>
                <w:rFonts w:ascii="Times New Roman" w:hAnsi="Times New Roman" w:cs="Times New Roman"/>
                <w:i/>
                <w:sz w:val="20"/>
                <w:szCs w:val="20"/>
                <w:lang w:val="pl-PL"/>
              </w:rPr>
              <w:t>epoque</w:t>
            </w:r>
            <w:proofErr w:type="spellEnd"/>
            <w:r w:rsidRPr="00F24910">
              <w:rPr>
                <w:rFonts w:ascii="Times New Roman" w:hAnsi="Times New Roman" w:cs="Times New Roman"/>
                <w:i/>
                <w:sz w:val="20"/>
                <w:szCs w:val="20"/>
                <w:lang w:val="pl-PL"/>
              </w:rPr>
              <w:t>, państwa centralne, kocioł bałkański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zawarcie trójprzymierza (1882), powstanie </w:t>
            </w:r>
            <w:r w:rsidRPr="00F24910">
              <w:rPr>
                <w:rFonts w:ascii="Times New Roman" w:hAnsi="Times New Roman" w:cs="Times New Roman"/>
                <w:sz w:val="20"/>
                <w:szCs w:val="20"/>
                <w:lang w:val="pl-PL"/>
              </w:rPr>
              <w:lastRenderedPageBreak/>
              <w:t>ententy (1904), I wojnę bałkańską (1912–1913), II wojnę bałkańską (1913)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Wilhelma II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proces tworzenia się bloków polityczno-militarnych przez I wojną światową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cele, które skłaniały mocarstwa europejskie do zwierania sojuszy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sytuację na Bałkanach nazywano „kotłem bałkańskim”</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zawiązanie sojuszu Francji z Rosją (1892), zdobycie Port Artur przez Japonię (1905), bitwę pod Cuszimą (1905), przyłączenie się Rosji do ententy (1907), </w:t>
            </w:r>
            <w:r w:rsidRPr="00F24910">
              <w:rPr>
                <w:rFonts w:ascii="Times New Roman" w:hAnsi="Times New Roman" w:cs="Times New Roman"/>
                <w:sz w:val="20"/>
                <w:szCs w:val="20"/>
                <w:lang w:val="pl-PL"/>
              </w:rPr>
              <w:lastRenderedPageBreak/>
              <w:t>aneksję Bośni przez Austro-Węgry (1908)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państwa, które na skutek wojen bałkańskich uzyskały największe zdobycze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terytorialne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przyczyny, przebieg i skutki wojny rosyjsko-japońskiej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na czym polegał wyścig zbrojeń na początku XX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skutki wojen bałkańskich</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proofErr w:type="spellStart"/>
            <w:r w:rsidRPr="00F24910">
              <w:rPr>
                <w:rFonts w:ascii="Times New Roman" w:hAnsi="Times New Roman" w:cs="Times New Roman"/>
                <w:i/>
                <w:sz w:val="20"/>
                <w:szCs w:val="20"/>
                <w:lang w:val="pl-PL"/>
              </w:rPr>
              <w:t>Weltpolitik</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międzynarodowy układ sił na przełomie XIX i XX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wyjaśnia, jakie skutki miało prowadzenie </w:t>
            </w:r>
            <w:proofErr w:type="spellStart"/>
            <w:r w:rsidRPr="00F24910">
              <w:rPr>
                <w:rFonts w:ascii="Times New Roman" w:hAnsi="Times New Roman" w:cs="Times New Roman"/>
                <w:sz w:val="20"/>
                <w:szCs w:val="20"/>
                <w:lang w:val="pl-PL"/>
              </w:rPr>
              <w:t>Weltpolitik</w:t>
            </w:r>
            <w:proofErr w:type="spellEnd"/>
            <w:r w:rsidRPr="00F24910">
              <w:rPr>
                <w:rFonts w:ascii="Times New Roman" w:hAnsi="Times New Roman" w:cs="Times New Roman"/>
                <w:sz w:val="20"/>
                <w:szCs w:val="20"/>
                <w:lang w:val="pl-PL"/>
              </w:rPr>
              <w:t xml:space="preserve"> przez Niemcy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 polityka Niemiec na przełomie XIX i XX w. wpłynęła na światowy układ sił</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opisuje sytuację na Bałkanach na początku XX w.</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wpływ sytuacji na Bałkanach na wybuch konfliktu światowego</w:t>
            </w:r>
          </w:p>
          <w:p w:rsidR="00F24910" w:rsidRPr="00F24910" w:rsidRDefault="00F24910" w:rsidP="00F24910">
            <w:pPr>
              <w:rPr>
                <w:rFonts w:ascii="Times New Roman" w:hAnsi="Times New Roman" w:cs="Times New Roman"/>
                <w:sz w:val="20"/>
                <w:szCs w:val="20"/>
                <w:lang w:val="pl-PL"/>
              </w:rPr>
            </w:pP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Fronty Wielkiej Wojny</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Zamach w Sarajewie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Wybuch I wojny światowej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Nieudana wojna błyskawiczna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Wojna pozycyjna na froncie zachodnim</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Front wschodni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Front bałkański i włoski</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wojna błyskawiczna, wojna pozycyjna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wybuch I wojny światowej (28 VII 1914)</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i przestrzeni zamach na arcyksięcia Franciszka Ferdynanda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wyjaśnia, na czym polegał plan wojny błyskawicznej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sposób prowadzenia wojny pozycyjnej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t>
            </w: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 xml:space="preserve"> wojna manewrowa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zamach w Sarajewie (VI 1914), bitwę nad Marną (IX 1914), wystąpienia Włoch z trójprzymierza (1915), bitwę pod Verdun (II-XII 1916), bitwę nad Sommą (VII-XI 1917), ,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i przestrzeni bitwę pod </w:t>
            </w:r>
            <w:proofErr w:type="spellStart"/>
            <w:r w:rsidRPr="00F24910">
              <w:rPr>
                <w:rFonts w:ascii="Times New Roman" w:hAnsi="Times New Roman" w:cs="Times New Roman"/>
                <w:sz w:val="20"/>
                <w:szCs w:val="20"/>
                <w:lang w:val="pl-PL"/>
              </w:rPr>
              <w:lastRenderedPageBreak/>
              <w:t>Tannenbergiem</w:t>
            </w:r>
            <w:proofErr w:type="spellEnd"/>
            <w:r w:rsidRPr="00F24910">
              <w:rPr>
                <w:rFonts w:ascii="Times New Roman" w:hAnsi="Times New Roman" w:cs="Times New Roman"/>
                <w:sz w:val="20"/>
                <w:szCs w:val="20"/>
                <w:lang w:val="pl-PL"/>
              </w:rPr>
              <w:t xml:space="preserve"> (VIII 1914)</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Franciszka Ferdynanda Habsburga, Alfreda von </w:t>
            </w:r>
            <w:proofErr w:type="spellStart"/>
            <w:r w:rsidRPr="00F24910">
              <w:rPr>
                <w:rFonts w:ascii="Times New Roman" w:hAnsi="Times New Roman" w:cs="Times New Roman"/>
                <w:sz w:val="20"/>
                <w:szCs w:val="20"/>
                <w:lang w:val="pl-PL"/>
              </w:rPr>
              <w:t>Schlieffena</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na czym polegał tzw. efekt domina w przypadku wybuchu I wojny światowej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okoliczności, w jakich załamał się niemiecki plan wojny błyskawicznej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na czym polegała wojna manewrowa </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i przestrzeni bitwę o Gallipoli (1915-1916), bitwę pod Gorlicami (1915)</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przestrzenia państwa, które uczestniczyły w wojnie po stronie państw centralnych lub ententy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Ferdynanda Focha, Paula von Hindenburga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polityczne konsekwencje zamachu w Sarajewie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jaką rolę odgrywały nowe rodzaje broni zastosowane na froncie zachodnim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przebieg działań wojennych na froncie zachodnim i wschodnim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kluczowe momenty w przebiegu działań wojennych na froncie wschodnim i zachodnim w latach 1914-1916</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przystąpienie Japonii do wojny po stronie ententy (1914), przystąpienie Turcji do wojny po stronie państw centralnych (1914), przystąpienie Bułgarii do wojny po stronie państw centralnych (1915), przystąpienie Rumunii do wojny po stronie ententy (1916), przystąpienie </w:t>
            </w:r>
            <w:r w:rsidRPr="00F24910">
              <w:rPr>
                <w:rFonts w:ascii="Times New Roman" w:hAnsi="Times New Roman" w:cs="Times New Roman"/>
                <w:sz w:val="20"/>
                <w:szCs w:val="20"/>
                <w:lang w:val="pl-PL"/>
              </w:rPr>
              <w:lastRenderedPageBreak/>
              <w:t>Grecji do wojny po stronie ententy (1917)</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postać </w:t>
            </w:r>
            <w:proofErr w:type="spellStart"/>
            <w:r w:rsidRPr="00F24910">
              <w:rPr>
                <w:rFonts w:ascii="Times New Roman" w:hAnsi="Times New Roman" w:cs="Times New Roman"/>
                <w:sz w:val="20"/>
                <w:szCs w:val="20"/>
                <w:lang w:val="pl-PL"/>
              </w:rPr>
              <w:t>Gawriło</w:t>
            </w:r>
            <w:proofErr w:type="spellEnd"/>
            <w:r w:rsidRPr="00F24910">
              <w:rPr>
                <w:rFonts w:ascii="Times New Roman" w:hAnsi="Times New Roman" w:cs="Times New Roman"/>
                <w:sz w:val="20"/>
                <w:szCs w:val="20"/>
                <w:lang w:val="pl-PL"/>
              </w:rPr>
              <w:t xml:space="preserve"> </w:t>
            </w:r>
            <w:proofErr w:type="spellStart"/>
            <w:r w:rsidRPr="00F24910">
              <w:rPr>
                <w:rFonts w:ascii="Times New Roman" w:hAnsi="Times New Roman" w:cs="Times New Roman"/>
                <w:sz w:val="20"/>
                <w:szCs w:val="20"/>
                <w:lang w:val="pl-PL"/>
              </w:rPr>
              <w:t>Principa</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zmiany w składzie trójprzymierza i trójporozumienia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różnice między działaniami zbrojnymi na froncie wschodnim i zachodnim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opisuje działania wojenne na froncie bałkańskim i włoskim</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ocenia skuteczność wojny pozycyjnej i manewrowej </w:t>
            </w:r>
          </w:p>
          <w:p w:rsidR="00F24910" w:rsidRPr="00F24910" w:rsidRDefault="00F24910" w:rsidP="00F24910">
            <w:pPr>
              <w:rPr>
                <w:rFonts w:ascii="Times New Roman" w:hAnsi="Times New Roman" w:cs="Times New Roman"/>
                <w:sz w:val="20"/>
                <w:szCs w:val="20"/>
                <w:lang w:val="pl-PL"/>
              </w:rPr>
            </w:pP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Rewolucje w Rosji</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Rewolucja lutowa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Okres dwuwładzy</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Rewolucja październikowa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Wojna domowa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Rosja po rewolucji</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rewolucja lutowa, rewolucja październikowa</w:t>
            </w:r>
            <w:r w:rsidRPr="00F24910">
              <w:rPr>
                <w:rFonts w:ascii="Times New Roman" w:hAnsi="Times New Roman" w:cs="Times New Roman"/>
                <w:sz w:val="20"/>
                <w:szCs w:val="20"/>
                <w:lang w:val="pl-PL"/>
              </w:rPr>
              <w:t xml:space="preserv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wybuch rewolucji lutowej (III 1917), wybuch rewolucji październikowej (6/7 XI 1917)</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Mikołaja II, Włodzimierza Lenina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skutki rewolucji październikowej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dwuwładza, bolszewicy, dyktatura proletariatu</w:t>
            </w:r>
            <w:r w:rsidRPr="00F24910">
              <w:rPr>
                <w:rFonts w:ascii="Times New Roman" w:hAnsi="Times New Roman" w:cs="Times New Roman"/>
                <w:sz w:val="20"/>
                <w:szCs w:val="20"/>
                <w:lang w:val="pl-PL"/>
              </w:rPr>
              <w:t xml:space="preserv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powołanie Rządu Tymczasowego (III 1917), podpisanie pokoju brzeskiego (3 III 1918), wojnę domową (1919–1920)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Aleksandra Kiereńskiego, Lwa </w:t>
            </w:r>
            <w:r w:rsidRPr="00F24910">
              <w:rPr>
                <w:rFonts w:ascii="Times New Roman" w:hAnsi="Times New Roman" w:cs="Times New Roman"/>
                <w:sz w:val="20"/>
                <w:szCs w:val="20"/>
                <w:lang w:val="pl-PL"/>
              </w:rPr>
              <w:lastRenderedPageBreak/>
              <w:t>Trockiego, Feliksa Dzierżyńskiego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przyczyny i skutki rewolucji lutowej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okres dwuwładzy w Rosji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jaką rolę odegrał Włodzimierz Lenin w czasie rewolucji rosyjskich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Rosja po rewolucji stała się państwem totalitarnym</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tezy kwietniowe</w:t>
            </w:r>
            <w:r w:rsidRPr="00F24910">
              <w:rPr>
                <w:rFonts w:ascii="Times New Roman" w:hAnsi="Times New Roman" w:cs="Times New Roman"/>
                <w:sz w:val="20"/>
                <w:szCs w:val="20"/>
                <w:lang w:val="pl-PL"/>
              </w:rPr>
              <w:t xml:space="preserv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abdykację Mikołaja II (III 1917), ogłoszenie tez kwietniowych (IV 1917), uchwalenie konstytucji rosyjskiej (VII 1918), egzekucję rodziny carskiej (VII 1918)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postać Grigorija Rasputina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sytuację militarną, polityczną i gospodarczą w Rosji do 1917 r.</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bolszewicy w okresie dwuwładzy cieszyli się rosnącym poparciem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opisuje przebieg rewolucji październikowej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proces budowania ZSRS</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przedstawia przyczyny wojny domowej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metody, jakie stosowali bolszewicy  w celu umocnienia swojej władzy</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mienszewicy, eserowcy, kadeci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Jurija </w:t>
            </w:r>
            <w:proofErr w:type="spellStart"/>
            <w:r w:rsidRPr="00F24910">
              <w:rPr>
                <w:rFonts w:ascii="Times New Roman" w:hAnsi="Times New Roman" w:cs="Times New Roman"/>
                <w:sz w:val="20"/>
                <w:szCs w:val="20"/>
                <w:lang w:val="pl-PL"/>
              </w:rPr>
              <w:t>Martowa</w:t>
            </w:r>
            <w:proofErr w:type="spellEnd"/>
            <w:r w:rsidRPr="00F24910">
              <w:rPr>
                <w:rFonts w:ascii="Times New Roman" w:hAnsi="Times New Roman" w:cs="Times New Roman"/>
                <w:sz w:val="20"/>
                <w:szCs w:val="20"/>
                <w:lang w:val="pl-PL"/>
              </w:rPr>
              <w:t xml:space="preserve">, Wiktora Czernowa, Pawła </w:t>
            </w:r>
            <w:proofErr w:type="spellStart"/>
            <w:r w:rsidRPr="00F24910">
              <w:rPr>
                <w:rFonts w:ascii="Times New Roman" w:hAnsi="Times New Roman" w:cs="Times New Roman"/>
                <w:sz w:val="20"/>
                <w:szCs w:val="20"/>
                <w:lang w:val="pl-PL"/>
              </w:rPr>
              <w:t>Miłukowa</w:t>
            </w:r>
            <w:proofErr w:type="spellEnd"/>
            <w:r w:rsidRPr="00F24910">
              <w:rPr>
                <w:rFonts w:ascii="Times New Roman" w:hAnsi="Times New Roman" w:cs="Times New Roman"/>
                <w:sz w:val="20"/>
                <w:szCs w:val="20"/>
                <w:lang w:val="pl-PL"/>
              </w:rPr>
              <w:t>, Antona Denikina, Aleksandra Kołczaka, Piotra Wrangla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i porównuje programy rosyjskich stronnictw politycznych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wyjaśnia, co przyczyniło się do sukcesu Armii Czerwonej w wojnie domowej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co skłoniło Lenina do brutalnej rozprawy z carem i jego rodziną</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metody stosowane przez bolszewików w celu umocnienia swojej władzy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wpływ rewolucji rosyjskich na układ sił w Europie podczas I wojny światowej</w:t>
            </w:r>
          </w:p>
          <w:p w:rsidR="00F24910" w:rsidRPr="00F24910" w:rsidRDefault="00F24910" w:rsidP="00F24910">
            <w:pPr>
              <w:rPr>
                <w:rFonts w:ascii="Times New Roman" w:hAnsi="Times New Roman" w:cs="Times New Roman"/>
                <w:sz w:val="20"/>
                <w:szCs w:val="20"/>
                <w:lang w:val="pl-PL"/>
              </w:rPr>
            </w:pP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Klęska państw centralnych</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Wojna na morzach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Przystąpienie Stanów Zjednoczonych </w:t>
            </w:r>
            <w:r w:rsidRPr="00F24910">
              <w:rPr>
                <w:rFonts w:ascii="Times New Roman" w:hAnsi="Times New Roman" w:cs="Times New Roman"/>
                <w:iCs/>
                <w:sz w:val="20"/>
                <w:szCs w:val="20"/>
                <w:lang w:val="pl-PL"/>
              </w:rPr>
              <w:br/>
              <w:t>do wojny</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Sytuacja państw centralnych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Klęska państw centralnych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lastRenderedPageBreak/>
              <w:t xml:space="preserve">Rewolucja </w:t>
            </w:r>
            <w:r w:rsidRPr="00F24910">
              <w:rPr>
                <w:rFonts w:ascii="Times New Roman" w:hAnsi="Times New Roman" w:cs="Times New Roman"/>
                <w:iCs/>
                <w:sz w:val="20"/>
                <w:szCs w:val="20"/>
                <w:lang w:val="pl-PL"/>
              </w:rPr>
              <w:br/>
              <w:t>w Niemczech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Skutki Wielkiej Wojny</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nieograniczona wojna podwodna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przystąpienie USA do wojny (IV 1917), rozejm w </w:t>
            </w:r>
            <w:proofErr w:type="spellStart"/>
            <w:r w:rsidRPr="00F24910">
              <w:rPr>
                <w:rFonts w:ascii="Times New Roman" w:hAnsi="Times New Roman" w:cs="Times New Roman"/>
                <w:sz w:val="20"/>
                <w:szCs w:val="20"/>
                <w:lang w:val="pl-PL"/>
              </w:rPr>
              <w:t>Compiègne</w:t>
            </w:r>
            <w:proofErr w:type="spellEnd"/>
            <w:r w:rsidRPr="00F24910">
              <w:rPr>
                <w:rFonts w:ascii="Times New Roman" w:hAnsi="Times New Roman" w:cs="Times New Roman"/>
                <w:sz w:val="20"/>
                <w:szCs w:val="20"/>
                <w:lang w:val="pl-PL"/>
              </w:rPr>
              <w:t xml:space="preserve"> i zakończenie I wojny światowej (11 XI 1919)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identyfikuje postać Thomasa </w:t>
            </w:r>
            <w:proofErr w:type="spellStart"/>
            <w:r w:rsidRPr="00F24910">
              <w:rPr>
                <w:rFonts w:ascii="Times New Roman" w:hAnsi="Times New Roman" w:cs="Times New Roman"/>
                <w:sz w:val="20"/>
                <w:szCs w:val="20"/>
                <w:lang w:val="pl-PL"/>
              </w:rPr>
              <w:t>Woodrowa</w:t>
            </w:r>
            <w:proofErr w:type="spellEnd"/>
            <w:r w:rsidRPr="00F24910">
              <w:rPr>
                <w:rFonts w:ascii="Times New Roman" w:hAnsi="Times New Roman" w:cs="Times New Roman"/>
                <w:sz w:val="20"/>
                <w:szCs w:val="20"/>
                <w:lang w:val="pl-PL"/>
              </w:rPr>
              <w:t xml:space="preserve"> Wilsona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założenia planu pokojowego Thomasa </w:t>
            </w:r>
            <w:proofErr w:type="spellStart"/>
            <w:r w:rsidRPr="00F24910">
              <w:rPr>
                <w:rFonts w:ascii="Times New Roman" w:hAnsi="Times New Roman" w:cs="Times New Roman"/>
                <w:sz w:val="20"/>
                <w:szCs w:val="20"/>
                <w:lang w:val="pl-PL"/>
              </w:rPr>
              <w:t>Woodrowa</w:t>
            </w:r>
            <w:proofErr w:type="spellEnd"/>
            <w:r w:rsidRPr="00F24910">
              <w:rPr>
                <w:rFonts w:ascii="Times New Roman" w:hAnsi="Times New Roman" w:cs="Times New Roman"/>
                <w:sz w:val="20"/>
                <w:szCs w:val="20"/>
                <w:lang w:val="pl-PL"/>
              </w:rPr>
              <w:t xml:space="preserve"> Wilsona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postanowienia rozejmu w </w:t>
            </w:r>
            <w:proofErr w:type="spellStart"/>
            <w:r w:rsidRPr="00F24910">
              <w:rPr>
                <w:rFonts w:ascii="Times New Roman" w:hAnsi="Times New Roman" w:cs="Times New Roman"/>
                <w:sz w:val="20"/>
                <w:szCs w:val="20"/>
                <w:lang w:val="pl-PL"/>
              </w:rPr>
              <w:t>Compiègne</w:t>
            </w:r>
            <w:proofErr w:type="spellEnd"/>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rozpoczęcie przez Niemcy nieograniczonej wojny podwodnej (1915), pokój brzeski (3 III 1918), rewolucję listopadową w Niemczech (XI 1918 – IV 1919)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Karola I Habsburga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wyjaśnia okoliczności i skutki zawarcia pokoju w Brześciu</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skutki polityczne, gospodarcze i społeczne Wielkiej Wojny</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proofErr w:type="spellStart"/>
            <w:r w:rsidRPr="00F24910">
              <w:rPr>
                <w:rFonts w:ascii="Times New Roman" w:hAnsi="Times New Roman" w:cs="Times New Roman"/>
                <w:i/>
                <w:sz w:val="20"/>
                <w:szCs w:val="20"/>
                <w:lang w:val="pl-PL"/>
              </w:rPr>
              <w:t>Mitteleuropa</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kapitulację Austro-Węgier (3 XI 1918)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i przestrzeni II bitwę nad Marną (VIII 1918)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dlaczego Niemcy zdecydowały się </w:t>
            </w:r>
            <w:r w:rsidRPr="00F24910">
              <w:rPr>
                <w:rFonts w:ascii="Times New Roman" w:hAnsi="Times New Roman" w:cs="Times New Roman"/>
                <w:sz w:val="20"/>
                <w:szCs w:val="20"/>
                <w:lang w:val="pl-PL"/>
              </w:rPr>
              <w:lastRenderedPageBreak/>
              <w:t>na nieograniczoną wojnę podwodną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skutki przyniosła nieograniczona wojna podwodna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okoliczności przystąpienia stanów Zjednoczonych do wojny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państwa centralne poniosły klęskę w I wojnie światowej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wysłanie depeszy Zimmermanna (I 1917)</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i przestrzeni bitwę jutlandzką (V-VI 1916)</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 Arthura Zimmermanna i Heinricha von </w:t>
            </w:r>
            <w:proofErr w:type="spellStart"/>
            <w:r w:rsidRPr="00F24910">
              <w:rPr>
                <w:rFonts w:ascii="Times New Roman" w:hAnsi="Times New Roman" w:cs="Times New Roman"/>
                <w:sz w:val="20"/>
                <w:szCs w:val="20"/>
                <w:lang w:val="pl-PL"/>
              </w:rPr>
              <w:t>Eckardta</w:t>
            </w:r>
            <w:proofErr w:type="spellEnd"/>
            <w:r w:rsidRPr="00F24910">
              <w:rPr>
                <w:rFonts w:ascii="Times New Roman" w:hAnsi="Times New Roman" w:cs="Times New Roman"/>
                <w:sz w:val="20"/>
                <w:szCs w:val="20"/>
                <w:lang w:val="pl-PL"/>
              </w:rPr>
              <w:t xml:space="preserve">  Karola I Habsburga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omawia problemy, z jakimi zmagały się państwa centralne po 1916 r.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przebieg i skutki rewolucji listopadowej w Niemczech</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polityczne, ekonomiczne i społeczne skutki I wojny światowej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wpływ sposobów  prowadzenia działań zbrojnych na totalny charakter I wojny światowej</w:t>
            </w:r>
          </w:p>
        </w:tc>
      </w:tr>
      <w:tr w:rsidR="00F24910" w:rsidRPr="001D2EE5" w:rsidTr="00E1793C">
        <w:trPr>
          <w:trHeight w:val="127"/>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Polacy na frontach Wielkiej Wojny</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Polacy u boku państw centralnych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Legiony Polskie u boku Austro-Węgier</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Formacje polskie u boku Rosji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Szlak bojowy Legionów Polskich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Wojsko polskie we Francji</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Legiony Polskie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sformowanie Legionów Polskich (VIII 1914)</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Józefa Piłsudskiego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były zasługi Józefa Piłsudskiego dla tworzenia polskich formacji wojskowych w czasie I wojny światowej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polskie formacje wojskowe </w:t>
            </w:r>
            <w:r w:rsidRPr="00F24910">
              <w:rPr>
                <w:rFonts w:ascii="Times New Roman" w:hAnsi="Times New Roman" w:cs="Times New Roman"/>
                <w:sz w:val="20"/>
                <w:szCs w:val="20"/>
                <w:lang w:val="pl-PL"/>
              </w:rPr>
              <w:lastRenderedPageBreak/>
              <w:t>walczące po stronie państw centralnych i ententy</w:t>
            </w: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kryzys przysięgowy, Błękitna Armia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wymarsz Kompanii Kadrowej (VIII 1914), sformowanie Błękitnej Armii (VI 1917), kryzys przysięgowy (VII 1917)</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i przestrzeni bitwę pod </w:t>
            </w:r>
            <w:proofErr w:type="spellStart"/>
            <w:r w:rsidRPr="00F24910">
              <w:rPr>
                <w:rFonts w:ascii="Times New Roman" w:hAnsi="Times New Roman" w:cs="Times New Roman"/>
                <w:sz w:val="20"/>
                <w:szCs w:val="20"/>
                <w:lang w:val="pl-PL"/>
              </w:rPr>
              <w:t>Rokitną</w:t>
            </w:r>
            <w:proofErr w:type="spellEnd"/>
            <w:r w:rsidRPr="00F24910">
              <w:rPr>
                <w:rFonts w:ascii="Times New Roman" w:hAnsi="Times New Roman" w:cs="Times New Roman"/>
                <w:sz w:val="20"/>
                <w:szCs w:val="20"/>
                <w:lang w:val="pl-PL"/>
              </w:rPr>
              <w:t xml:space="preserve"> (VI 1915), bitwę pod </w:t>
            </w:r>
            <w:proofErr w:type="spellStart"/>
            <w:r w:rsidRPr="00F24910">
              <w:rPr>
                <w:rFonts w:ascii="Times New Roman" w:hAnsi="Times New Roman" w:cs="Times New Roman"/>
                <w:sz w:val="20"/>
                <w:szCs w:val="20"/>
                <w:lang w:val="pl-PL"/>
              </w:rPr>
              <w:t>Kostiuchnówką</w:t>
            </w:r>
            <w:proofErr w:type="spellEnd"/>
            <w:r w:rsidRPr="00F24910">
              <w:rPr>
                <w:rFonts w:ascii="Times New Roman" w:hAnsi="Times New Roman" w:cs="Times New Roman"/>
                <w:sz w:val="20"/>
                <w:szCs w:val="20"/>
                <w:lang w:val="pl-PL"/>
              </w:rPr>
              <w:t xml:space="preserve"> (VII 1917), bitwę pod Kaniowem (V 1918)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identyfikuje postacie Józefa Hallera, Romana Dmowskiego, Ignacego Jana Paderewskiego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polityczne koncepcje niepodległościowe w Galicji i Królestwie Polskim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skutki kryzysu przysięgowego</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stosuje pojęcie</w:t>
            </w:r>
            <w:r w:rsidRPr="00F24910">
              <w:rPr>
                <w:rFonts w:ascii="Times New Roman" w:hAnsi="Times New Roman" w:cs="Times New Roman"/>
                <w:i/>
                <w:sz w:val="20"/>
                <w:szCs w:val="20"/>
                <w:lang w:val="pl-PL"/>
              </w:rPr>
              <w:t xml:space="preserve"> bajończycy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powstanie bajończyków (VIII 1914), powstanie Polskiej Organizacji Wojskowej (X 1914)</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i przestrzeni bitwę pod Limanową (XII 1914)</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Edwarda Rydza-Śmigłego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przedstawia okoliczności powstania Legionów Polskich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jaką rolę miała odegrać I Kompania Kadrowa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szlak bojowy Legionów Polskich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jakim celu powołano Polską Organizację Wojskową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formacje polskie, które powstały u boku Rosji</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powstanie Komisji Tymczasowej Skonfederowanych Stronnictw Niepodległościowych (1912), powstanie Centralnego Komitetu Narodowego (VII 1914), powstanie Naczelnego Komitetu Narodowego (VIII 1914), powstanie Komitetu Narodowego Polskiego (XI 1914), powstanie Komitetu Narodowego Polskiego w Lozannie (1917)</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identyfikuje postacie Tadeusza Kasprzyckiego, Władysława Prażmowskiego ps. Belina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proces formowania wojska polskiego we Francji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genezę Legionów Polskich</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jakie znaczenie dla Polaków mogła mieć walka w wojnie toczonej przez zaborców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czy polskie jednostki wojskowe walczące w czasie I wojny światowej spełniły pokładane w nich nadzieje</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Sprawa polska na arenie międzynarodowej</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Sprawa polska na początku wojny</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Państwa centralne wobec sprawy polskiej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Sprawa polska w polityce państw ententy</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Polacy na konferencji pokojowej w Paryżu</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wydanie Manifestu dwóch cesarzy (5 XI 1916), orędzie Thomasa </w:t>
            </w:r>
            <w:proofErr w:type="spellStart"/>
            <w:r w:rsidRPr="00F24910">
              <w:rPr>
                <w:rFonts w:ascii="Times New Roman" w:hAnsi="Times New Roman" w:cs="Times New Roman"/>
                <w:sz w:val="20"/>
                <w:szCs w:val="20"/>
                <w:lang w:val="pl-PL"/>
              </w:rPr>
              <w:t>Woodrowa</w:t>
            </w:r>
            <w:proofErr w:type="spellEnd"/>
            <w:r w:rsidRPr="00F24910">
              <w:rPr>
                <w:rFonts w:ascii="Times New Roman" w:hAnsi="Times New Roman" w:cs="Times New Roman"/>
                <w:sz w:val="20"/>
                <w:szCs w:val="20"/>
                <w:lang w:val="pl-PL"/>
              </w:rPr>
              <w:t xml:space="preserve"> Wilsona (8 I 1918), traktat wersalski (28 VI 1919)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Thomasa </w:t>
            </w:r>
            <w:proofErr w:type="spellStart"/>
            <w:r w:rsidRPr="00F24910">
              <w:rPr>
                <w:rFonts w:ascii="Times New Roman" w:hAnsi="Times New Roman" w:cs="Times New Roman"/>
                <w:sz w:val="20"/>
                <w:szCs w:val="20"/>
                <w:lang w:val="pl-PL"/>
              </w:rPr>
              <w:t>Woodrowa</w:t>
            </w:r>
            <w:proofErr w:type="spellEnd"/>
            <w:r w:rsidRPr="00F24910">
              <w:rPr>
                <w:rFonts w:ascii="Times New Roman" w:hAnsi="Times New Roman" w:cs="Times New Roman"/>
                <w:sz w:val="20"/>
                <w:szCs w:val="20"/>
                <w:lang w:val="pl-PL"/>
              </w:rPr>
              <w:t xml:space="preserve"> Wilsona, Ignacego Jana Paderewskiego, Romana Dmowskiego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postanowienia Aktu 5 listopada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wyjaśnia, dlaczego plan pokojowy prezydenta T. W. Wilsona miał przełomowe znaczenie dla sprawy polskiej </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mały traktat wersalski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powołanie Rady Regencyjnej (IX 1917), konferencję pokojową w Paryżu (18 I 1919–21 I 1920)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Wilhelma II,  Franciszka Józefa, Mikołaja II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dokumenty dotyczące sprawy polskiej wydawane przez </w:t>
            </w:r>
            <w:r w:rsidRPr="00F24910">
              <w:rPr>
                <w:rFonts w:ascii="Times New Roman" w:hAnsi="Times New Roman" w:cs="Times New Roman"/>
                <w:sz w:val="20"/>
                <w:szCs w:val="20"/>
                <w:lang w:val="pl-PL"/>
              </w:rPr>
              <w:lastRenderedPageBreak/>
              <w:t>państwa centralne i państwa ententy prawne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postanowienia konferencji pokojowej w Paryżu dotyczące Polski</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odezwę księcia Mikołaja (VIII 1914), odezwę Mikołaja II (XII 1916)</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Aleksandra Kakowskiego, Józefa Ostrowskiego, Zdzisława Lubomirskiego, Jana Kucharzewskiego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stosunek państw zaborczych do sprawy polskiej w momencie wybuchu wojny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wyjaśnia, w jaki sposób władze niemieckie i austriackie realizowały obietnice zawarte w Akcie 5 listopada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co miało wpływ na zmianę w stanowisku Rosji wobec sprawy polskiej</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powołanie Tymczasowej Rady Stanu (I 1917), powołanie rządu Jana Kucharzewskiego (XI 1917)</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stosunek państw centralnych do sprawy polskiej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przemiany, jakie zachodziły w stanowisku Rosji wobec sprawy polskiej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znaczenie Aktu 5 listopada dla narodu  polskiego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rolę, jaką w propagowaniu sprawy polskiej w latach 1914–1919 odegrał Ignacy Jan Paderewski</w:t>
            </w:r>
          </w:p>
        </w:tc>
      </w:tr>
      <w:tr w:rsidR="00F24910" w:rsidRPr="001D2EE5" w:rsidTr="00E1793C">
        <w:trPr>
          <w:trHeight w:val="340"/>
        </w:trPr>
        <w:tc>
          <w:tcPr>
            <w:tcW w:w="15014"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F24910" w:rsidRPr="00F24910" w:rsidRDefault="00F24910" w:rsidP="00F24910">
            <w:pPr>
              <w:rPr>
                <w:rFonts w:ascii="Times New Roman" w:hAnsi="Times New Roman" w:cs="Times New Roman"/>
                <w:b/>
                <w:bCs/>
                <w:sz w:val="20"/>
                <w:szCs w:val="20"/>
                <w:lang w:val="pl-PL"/>
              </w:rPr>
            </w:pPr>
            <w:r w:rsidRPr="00F24910">
              <w:rPr>
                <w:rFonts w:ascii="Times New Roman" w:hAnsi="Times New Roman" w:cs="Times New Roman"/>
                <w:b/>
                <w:sz w:val="20"/>
                <w:szCs w:val="20"/>
                <w:lang w:val="pl-PL"/>
              </w:rPr>
              <w:t>Rozdział VI. Świat po I wojnie światowej</w:t>
            </w:r>
          </w:p>
        </w:tc>
      </w:tr>
      <w:tr w:rsidR="00F24910" w:rsidRPr="001D2EE5" w:rsidTr="00E1793C">
        <w:trPr>
          <w:trHeight w:val="274"/>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Ład wersalski</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Traktat wersalski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Rozpad Austro-Węgier</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Traktaty z Bułgarią i Turcją</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Nowe państwa w Europie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Liga Narodów</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Mały traktat wersalski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Pierwsze koncepcje zjednoczenia Europy</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stosuje pojęcie</w:t>
            </w:r>
            <w:r w:rsidRPr="00F24910">
              <w:rPr>
                <w:rFonts w:ascii="Times New Roman" w:hAnsi="Times New Roman" w:cs="Times New Roman"/>
                <w:i/>
                <w:sz w:val="20"/>
                <w:szCs w:val="20"/>
                <w:lang w:val="pl-PL"/>
              </w:rPr>
              <w:t xml:space="preserve"> Liga Narodów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traktat wersalski (28 VI 1919), powstanie Ligi Narodów (I 1920)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nowe kraje, które powstały w Europie po 1918 r.</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postanowienia traktatu wersalskiego</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stosuje pojęcie</w:t>
            </w:r>
            <w:r w:rsidRPr="00F24910">
              <w:rPr>
                <w:rFonts w:ascii="Times New Roman" w:hAnsi="Times New Roman" w:cs="Times New Roman"/>
                <w:i/>
                <w:sz w:val="20"/>
                <w:szCs w:val="20"/>
                <w:lang w:val="pl-PL"/>
              </w:rPr>
              <w:t xml:space="preserve"> mały traktat wersalski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traktat w Saint-Germain z Austrią (IX 1919), traktat w Neuilly z Bułgarią (XI 1919), traktat w Trianon z Węgrami (VI 1920), traktat w </w:t>
            </w:r>
            <w:proofErr w:type="spellStart"/>
            <w:r w:rsidRPr="00F24910">
              <w:rPr>
                <w:rFonts w:ascii="Times New Roman" w:hAnsi="Times New Roman" w:cs="Times New Roman"/>
                <w:sz w:val="20"/>
                <w:szCs w:val="20"/>
                <w:lang w:val="pl-PL"/>
              </w:rPr>
              <w:t>Sèvres</w:t>
            </w:r>
            <w:proofErr w:type="spellEnd"/>
            <w:r w:rsidRPr="00F24910">
              <w:rPr>
                <w:rFonts w:ascii="Times New Roman" w:hAnsi="Times New Roman" w:cs="Times New Roman"/>
                <w:sz w:val="20"/>
                <w:szCs w:val="20"/>
                <w:lang w:val="pl-PL"/>
              </w:rPr>
              <w:t xml:space="preserve"> z Turcją (VIII 1920), traktat w Lozannie (VII 1923)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postanowienia pokojów z Austrią, Węgrami, Bułgarią i Turcją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przyczyny powstania Ligi Narodów</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ruch paneuropejski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dołączenia Niemieć do Ligii Narodów (1926), dołączenia ZSRS do Ligi Narodów (1934)</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przestrzeni postanowienia traktatu wersalskiego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Mustafy Kemala Paszy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okoliczności, w jakich doszło do rozpadu Austro-Węgier</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strukturę organizacyjną Ligi Narodów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dlaczego doszło do przyjęcia tzw. </w:t>
            </w:r>
            <w:r w:rsidRPr="00F24910">
              <w:rPr>
                <w:rFonts w:ascii="Times New Roman" w:hAnsi="Times New Roman" w:cs="Times New Roman"/>
                <w:sz w:val="20"/>
                <w:szCs w:val="20"/>
                <w:lang w:val="pl-PL"/>
              </w:rPr>
              <w:lastRenderedPageBreak/>
              <w:t>małego traktatu wersalskiego</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identyfikuje postacie Richarda </w:t>
            </w:r>
            <w:proofErr w:type="spellStart"/>
            <w:r w:rsidRPr="00F24910">
              <w:rPr>
                <w:rFonts w:ascii="Times New Roman" w:hAnsi="Times New Roman" w:cs="Times New Roman"/>
                <w:sz w:val="20"/>
                <w:szCs w:val="20"/>
                <w:lang w:val="pl-PL"/>
              </w:rPr>
              <w:t>Coudenhove</w:t>
            </w:r>
            <w:proofErr w:type="spellEnd"/>
            <w:r w:rsidRPr="00F24910">
              <w:rPr>
                <w:rFonts w:ascii="Times New Roman" w:hAnsi="Times New Roman" w:cs="Times New Roman"/>
                <w:sz w:val="20"/>
                <w:szCs w:val="20"/>
                <w:lang w:val="pl-PL"/>
              </w:rPr>
              <w:t>-</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Kalergiego, Aristide’a </w:t>
            </w:r>
            <w:proofErr w:type="spellStart"/>
            <w:r w:rsidRPr="00F24910">
              <w:rPr>
                <w:rFonts w:ascii="Times New Roman" w:hAnsi="Times New Roman" w:cs="Times New Roman"/>
                <w:sz w:val="20"/>
                <w:szCs w:val="20"/>
                <w:lang w:val="pl-PL"/>
              </w:rPr>
              <w:t>Brianda</w:t>
            </w:r>
            <w:proofErr w:type="spellEnd"/>
            <w:r w:rsidRPr="00F24910">
              <w:rPr>
                <w:rFonts w:ascii="Times New Roman" w:hAnsi="Times New Roman" w:cs="Times New Roman"/>
                <w:sz w:val="20"/>
                <w:szCs w:val="20"/>
                <w:lang w:val="pl-PL"/>
              </w:rPr>
              <w:t>, Franka Kellogga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jakich okolicznościach doszło do upadku sułtanatu w Turcji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pierwsze koncepcje zjednoczenia Europy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nowy układ sił w Europie po zakończeniu I wojny światowej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skutki wprowadzenia tzw. małego traktatu wersalskiego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rolę Ligi Narodów w okresie międzywojennym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jakie znaczenie miały w okresie międzywojennym ruchy na rzecz zjednoczenia Europy</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ZSRS – imperium komunistyczne</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Powstanie ZSRS</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Gospodarka ZSRS</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Rządy Stalina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Kult jednostki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Międzynarodowa działalność Kominternu</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Zbrodnie sowieckie przed II wojną światową</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Rywalizacja i współpraca ZSRS i Niemiec</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Nowa Polityka Ekonomiczna, kult jednostki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utworzenie ZSRS (XII 1922)</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Włodzimierza Lenina, Józefa Stalina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zasady Nowej Polityki Ekonomicznej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na czym polegał kult jednostki w ZSRS</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komunizm wojenny, czystki, łagier, Gułag</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funkcjonowanie NEP (1921–1928), traktat w Rapallo (IV 1922), początek rządów Stalina (1924), , pakt Ribbentrop–Mołotow (23.08.1939)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Lwa Trockiego, Joachima von Ribbentropa, Wiaczesława Mołotowa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okoliczności powstania ZSRS</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na czym polegał komunizm wojenny i jakie niósł ze sobą skutki gospodarcze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jakim celu wprowadzono kult Józefa Stalina w ZSRS</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na czym polegał i jak działał system łagrów w ZSRS</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opisuje relacje radziecko-niemieckie w okresie międzywojennym</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Międzynarodówka Komunistyczna (Komintern), kolektywizacja rolnictwa, sowchoz, kołchoz, front ludowy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wielką czystkę (1936–1938), Wieli Głód na Ukrainie (1932–1933), operację polską NKWD (1937–1938)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obszar głodu w latach 1932–1933; regiony, w których znalazły się największe skupiska łagrów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i opisuje etapy przebudowy gospodarki ZSRS</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cele gospodarcze przyświecały władzy radzieckiej po 1928 r.</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skutki kolektywizacji rolnictwa w ZSRS</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przedstawia przykłady zbrodni sowieckich przed II wojną światową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sposób sprawowania władzy przez Józefa Stalina</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powołanie </w:t>
            </w:r>
            <w:proofErr w:type="spellStart"/>
            <w:r w:rsidRPr="00F24910">
              <w:rPr>
                <w:rFonts w:ascii="Times New Roman" w:hAnsi="Times New Roman" w:cs="Times New Roman"/>
                <w:sz w:val="20"/>
                <w:szCs w:val="20"/>
                <w:lang w:val="pl-PL"/>
              </w:rPr>
              <w:t>Kominter-nu</w:t>
            </w:r>
            <w:proofErr w:type="spellEnd"/>
            <w:r w:rsidRPr="00F24910">
              <w:rPr>
                <w:rFonts w:ascii="Times New Roman" w:hAnsi="Times New Roman" w:cs="Times New Roman"/>
                <w:sz w:val="20"/>
                <w:szCs w:val="20"/>
                <w:lang w:val="pl-PL"/>
              </w:rPr>
              <w:t xml:space="preserve"> (1919)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Grigorija Zinowiewa, Lwa Kamieniewa, Nikołaja Bucharina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działalność Kominternu</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metody, jakimi Józef Stalin pozbywał się swoich przeciwników politycznych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Józef Stalin zdecydował się na zbliżenie polityczne z III Rzeszą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na czym polegał fasadowy charakter ZSRS jako państwa federacyjnego</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politykę Józefa Stalina wobec przeciwników politycznych  i własnego narodu</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jakie skutki przyniosło zrealizowanie w praktyce planu budowy państwa komunistycznego</w:t>
            </w:r>
          </w:p>
          <w:p w:rsidR="00F24910" w:rsidRPr="00F24910" w:rsidRDefault="00F24910" w:rsidP="00F24910">
            <w:pPr>
              <w:rPr>
                <w:rFonts w:ascii="Times New Roman" w:hAnsi="Times New Roman" w:cs="Times New Roman"/>
                <w:sz w:val="20"/>
                <w:szCs w:val="20"/>
                <w:lang w:val="pl-PL"/>
              </w:rPr>
            </w:pPr>
          </w:p>
        </w:tc>
      </w:tr>
      <w:tr w:rsidR="00F24910" w:rsidRPr="00F24910"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Czas Wielkiego Kryzysu</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Skutki I wojny światowej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Czas koniunktury</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Wielki kryzys</w:t>
            </w:r>
          </w:p>
          <w:p w:rsidR="00F24910" w:rsidRPr="00F24910" w:rsidRDefault="00F24910" w:rsidP="00F24910">
            <w:pPr>
              <w:rPr>
                <w:rFonts w:ascii="Times New Roman" w:hAnsi="Times New Roman" w:cs="Times New Roman"/>
                <w:i/>
                <w:iCs/>
                <w:sz w:val="20"/>
                <w:szCs w:val="20"/>
                <w:lang w:val="pl-PL"/>
              </w:rPr>
            </w:pPr>
            <w:r w:rsidRPr="00F24910">
              <w:rPr>
                <w:rFonts w:ascii="Times New Roman" w:hAnsi="Times New Roman" w:cs="Times New Roman"/>
                <w:i/>
                <w:iCs/>
                <w:sz w:val="20"/>
                <w:szCs w:val="20"/>
                <w:lang w:val="pl-PL"/>
              </w:rPr>
              <w:t>New Deal</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 xml:space="preserve">Wielki Kryzys, New Deal,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Wielki Kryzys (1929-1933), wprowadzenie planu New Deal (1933)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zjawiska i procesy charakterystyczne dla Wielkiego Kryzysu</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założenia New Deal </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 xml:space="preserve">inflacja, hiperinflacja, koniunktura, "czarny czwartek”, nacjonalizacja, interwencjonizm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„czarny czwartek” (24 X 1929)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Franklina Delano Roosevelta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gospodarcze i społeczne skutki I wojny światowej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przedstawia działania podjęte w ramach realizacji New Deal </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bańka kredytowa, deflacja, autarkia, handel barterowy, etatyzm, monopol, keynesizm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hiperinflację w Europie (1923), okupację Zagłębia Ruhry przez aliantów (1923–1925)</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Johna Keynesa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z jakiego powodu po I wojnie światowej pojawiło się zjawisko hiperinflacji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skutki gospodarcze miała tzw. bańka kredytowa w USA</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epidemię grypy hiszpanki (1918–1920)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w jaki sposób państwa europejskie próbowały chronić swoją gospodarkę przed Wielkim Kryzysem</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rolę keynesizmu w wychodzeniu USA i państw europejskich z Wielkiego Kryzysu</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skutki Wielkiego Kryzysu</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Rozwój faszyzmu i nazizmu</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Kryzys demokracji w Europie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Narodziny włoskiego faszyzmu</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lastRenderedPageBreak/>
              <w:t>Republika Weimarska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Powstanie nazizmu</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Przejęcie władzy przez Hitlera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Rządy Hitlera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Społeczeństwo III Rzeszy</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Początki zbrodni hitlerowskich</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stosuje pojęcia</w:t>
            </w:r>
            <w:r w:rsidRPr="00F24910">
              <w:rPr>
                <w:rFonts w:ascii="Times New Roman" w:hAnsi="Times New Roman" w:cs="Times New Roman"/>
                <w:i/>
                <w:sz w:val="20"/>
                <w:szCs w:val="20"/>
                <w:lang w:val="pl-PL"/>
              </w:rPr>
              <w:t xml:space="preserve"> faszyzm, ruch narodowosocjalistyczny (nazizm), </w:t>
            </w:r>
            <w:proofErr w:type="spellStart"/>
            <w:r w:rsidRPr="00F24910">
              <w:rPr>
                <w:rFonts w:ascii="Times New Roman" w:hAnsi="Times New Roman" w:cs="Times New Roman"/>
                <w:i/>
                <w:sz w:val="20"/>
                <w:szCs w:val="20"/>
                <w:lang w:val="pl-PL"/>
              </w:rPr>
              <w:t>Führer</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początek rządów </w:t>
            </w:r>
            <w:r w:rsidRPr="00F24910">
              <w:rPr>
                <w:rFonts w:ascii="Times New Roman" w:hAnsi="Times New Roman" w:cs="Times New Roman"/>
                <w:sz w:val="20"/>
                <w:szCs w:val="20"/>
                <w:lang w:val="pl-PL"/>
              </w:rPr>
              <w:lastRenderedPageBreak/>
              <w:t>Mussoliniego (1922), początek rządów Hitlera (I 1933)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Benita Mussoliniego, Adolfa Hitlera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założenia doktryny faszyzmu i nazizmu</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Duce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marsz na Rzym (1922), traktaty w Locarno (1925), „noc długich noży” (1934), ustawy </w:t>
            </w:r>
            <w:r w:rsidRPr="00F24910">
              <w:rPr>
                <w:rFonts w:ascii="Times New Roman" w:hAnsi="Times New Roman" w:cs="Times New Roman"/>
                <w:sz w:val="20"/>
                <w:szCs w:val="20"/>
                <w:lang w:val="pl-PL"/>
              </w:rPr>
              <w:lastRenderedPageBreak/>
              <w:t>norymberskie (1935), „noc kryształową” (1938)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Heinricha Himmlera, Josefa Goebbelsa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działania, jakie podjął Benito Mussolini w celu utworzenia państwa faszystowskiego we Włoszech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przyczyny narodzin nazizmu w Niemczech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jakich okolicznościach Adolf Hitler przejął władzę w Niemczech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proces tworzenia niemieckiego państwa nazistowskiego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metody, które stosowali naziści w celu stworzenia posłusznego sobie społeczeństwa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rolę, jaką odgrywała propaganda w nazistowskich Niemczech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działania nazistów, które miały prowadzić do </w:t>
            </w:r>
            <w:r w:rsidRPr="00F24910">
              <w:rPr>
                <w:rFonts w:ascii="Times New Roman" w:hAnsi="Times New Roman" w:cs="Times New Roman"/>
                <w:sz w:val="20"/>
                <w:szCs w:val="20"/>
                <w:lang w:val="pl-PL"/>
              </w:rPr>
              <w:lastRenderedPageBreak/>
              <w:t>eksterminacji Żydów w Niemczech</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protekcjonizm gospodarczy, eugenika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powstanie ruchu faszystowskiego we </w:t>
            </w:r>
            <w:r w:rsidRPr="00F24910">
              <w:rPr>
                <w:rFonts w:ascii="Times New Roman" w:hAnsi="Times New Roman" w:cs="Times New Roman"/>
                <w:sz w:val="20"/>
                <w:szCs w:val="20"/>
                <w:lang w:val="pl-PL"/>
              </w:rPr>
              <w:lastRenderedPageBreak/>
              <w:t>Włoszech (1919), pucz monachijski (1923), pakty laterańskie (1929), Republikę Weimarską (1919–1933), rozpoczęcie zbrojeń przez Niemcy (1935), remilitaryzację Nadrenii (1936)</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Wiktora Emanuela III, Paula von Hindenburga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Europa w końcu lat 20. i na początku lat 30. XX w. przeżywała kryzys demokracji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jaką rolę odegrali Benito Mussolini i Adolf Hitler w budowaniu państwa totalitarnego we Włoszech i Niemczech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z czego wynikał antysemityzm nazistowski i jakie miał konsekwencje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okoliczności i skutki puczu monachijskiego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wyjaśnia, dlaczego Adolf Hitler rozprawił się z przywódcami SA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przykłady zbrodni hitlerowskich w latach 30. XX w.</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powstanie Narodowej Partii Faszystowskiej we Włoszech (1921), powstanie obozów koncentracyjnych w </w:t>
            </w:r>
            <w:r w:rsidRPr="00F24910">
              <w:rPr>
                <w:rFonts w:ascii="Times New Roman" w:hAnsi="Times New Roman" w:cs="Times New Roman"/>
                <w:sz w:val="20"/>
                <w:szCs w:val="20"/>
                <w:lang w:val="pl-PL"/>
              </w:rPr>
              <w:lastRenderedPageBreak/>
              <w:t>Niemczech (1933), podpalenie Reichstagu (II 1933)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Alfreda Rosenberga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proces tworzenia się faszyzmu we Włoszech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charakteryzuje sytuację wewnętrzną i politykę zagraniczną Republiki Weimarskiej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grupy, które zostały wykluczone ze społeczeństwa niemieckiego i przedstawia stosowane wobec nich metody represji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znaczenie naziści przypisywali eugenice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porównuje założenia ideowe włoskiego faszyzmu i niemieckiego nazizmu</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 sposób naziści pozbyli się opozycji politycznej w Niemczech</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które założenia ideologii nazistowskiej mogły prowadzić do zbrodniczej działalności jej zwolenników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wymienia działania włoskich faszystów i niemieckich nazistów, które świadczą o totalitarnym charakterze stworzonych przez nich państw</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Przemiany społeczne w okresie międzywojennym</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Emancypacja kobiet</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Rozwój oświaty </w:t>
            </w:r>
            <w:r w:rsidRPr="00F24910">
              <w:rPr>
                <w:rFonts w:ascii="Times New Roman" w:hAnsi="Times New Roman" w:cs="Times New Roman"/>
                <w:iCs/>
                <w:sz w:val="20"/>
                <w:szCs w:val="20"/>
                <w:lang w:val="pl-PL"/>
              </w:rPr>
              <w:br/>
              <w:t>i sytuacja wyznaniowa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Rozwój mass mediów</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Kultura masowa </w:t>
            </w:r>
            <w:r w:rsidRPr="00F24910">
              <w:rPr>
                <w:rFonts w:ascii="Times New Roman" w:hAnsi="Times New Roman" w:cs="Times New Roman"/>
                <w:iCs/>
                <w:sz w:val="20"/>
                <w:szCs w:val="20"/>
                <w:lang w:val="pl-PL"/>
              </w:rPr>
              <w:br/>
              <w:t>w okresie międzywojennym</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Rozwój techniki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Architektura okresu międzywojennego</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pojęcia </w:t>
            </w:r>
            <w:r w:rsidRPr="00F24910">
              <w:rPr>
                <w:rFonts w:ascii="Times New Roman" w:hAnsi="Times New Roman" w:cs="Times New Roman"/>
                <w:i/>
                <w:sz w:val="20"/>
                <w:szCs w:val="20"/>
                <w:lang w:val="pl-PL"/>
              </w:rPr>
              <w:t>demokratyzacja, społeczeństwo masowe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społeczne, polityczne i kulturowe skutki emancypacji kobiet</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cechy kultury masowej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stosuje pojęcia</w:t>
            </w:r>
            <w:r w:rsidRPr="00F24910">
              <w:rPr>
                <w:rFonts w:ascii="Times New Roman" w:hAnsi="Times New Roman" w:cs="Times New Roman"/>
                <w:i/>
                <w:sz w:val="20"/>
                <w:szCs w:val="20"/>
                <w:lang w:val="pl-PL"/>
              </w:rPr>
              <w:t xml:space="preserve"> mass media, społeczeństwo konsumpcyjne, socrealizm, modernizm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przyczyny </w:t>
            </w:r>
            <w:r w:rsidRPr="00F24910">
              <w:rPr>
                <w:rFonts w:ascii="Times New Roman" w:hAnsi="Times New Roman" w:cs="Times New Roman"/>
                <w:sz w:val="20"/>
                <w:szCs w:val="20"/>
                <w:lang w:val="pl-PL"/>
              </w:rPr>
              <w:br/>
              <w:t>i skutki powstania kultury masowej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na czym polegał socrealizm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cechy charakterystyczne architektury okresu międzywojennego</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stosuje pojęcie</w:t>
            </w:r>
            <w:r w:rsidRPr="00F24910">
              <w:rPr>
                <w:rFonts w:ascii="Times New Roman" w:hAnsi="Times New Roman" w:cs="Times New Roman"/>
                <w:i/>
                <w:sz w:val="20"/>
                <w:szCs w:val="20"/>
                <w:lang w:val="pl-PL"/>
              </w:rPr>
              <w:t xml:space="preserve"> funkcjonalizm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pierwszą audycję telewizyjną (1928), ogłoszenie Karty ateńskiej (1933)</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w okresie międzywojennym pogłębiło się zjawisko laicyzacji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kierunki w rozwoju techniki w okresie międzywojennym</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Karta ateńska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Le Corbusiera, Waltera Gropiusa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porównuje rozwój kultury masowej </w:t>
            </w:r>
            <w:r w:rsidRPr="00F24910">
              <w:rPr>
                <w:rFonts w:ascii="Times New Roman" w:hAnsi="Times New Roman" w:cs="Times New Roman"/>
                <w:sz w:val="20"/>
                <w:szCs w:val="20"/>
                <w:lang w:val="pl-PL"/>
              </w:rPr>
              <w:br/>
              <w:t>w państwach demokratycznych i totalitarnych</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skutki społeczne demokratyzacji życia po I wojnie światowej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które wynalazki upowszechnione w okresie międzywojennym najbardziej zmieniły życie ludzi</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Świat na drodze ku nowej wojnie</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Podboje Włoch </w:t>
            </w:r>
            <w:r w:rsidRPr="00F24910">
              <w:rPr>
                <w:rFonts w:ascii="Times New Roman" w:hAnsi="Times New Roman" w:cs="Times New Roman"/>
                <w:iCs/>
                <w:sz w:val="20"/>
                <w:szCs w:val="20"/>
                <w:lang w:val="pl-PL"/>
              </w:rPr>
              <w:br/>
              <w:t>i Japonii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Militaryzacja Niemiec</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Wojna domowa </w:t>
            </w:r>
            <w:r w:rsidRPr="00F24910">
              <w:rPr>
                <w:rFonts w:ascii="Times New Roman" w:hAnsi="Times New Roman" w:cs="Times New Roman"/>
                <w:iCs/>
                <w:sz w:val="20"/>
                <w:szCs w:val="20"/>
                <w:lang w:val="pl-PL"/>
              </w:rPr>
              <w:br/>
              <w:t>w Hiszpanii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Przyłączenie Austrii do Niemiec</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Rozbiory Czechosłowacji</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pojęcia </w:t>
            </w:r>
            <w:proofErr w:type="spellStart"/>
            <w:r w:rsidRPr="00F24910">
              <w:rPr>
                <w:rFonts w:ascii="Times New Roman" w:hAnsi="Times New Roman" w:cs="Times New Roman"/>
                <w:i/>
                <w:sz w:val="20"/>
                <w:szCs w:val="20"/>
                <w:lang w:val="pl-PL"/>
              </w:rPr>
              <w:t>Anschluss</w:t>
            </w:r>
            <w:proofErr w:type="spellEnd"/>
            <w:r w:rsidRPr="00F24910">
              <w:rPr>
                <w:rFonts w:ascii="Times New Roman" w:hAnsi="Times New Roman" w:cs="Times New Roman"/>
                <w:i/>
                <w:sz w:val="20"/>
                <w:szCs w:val="20"/>
                <w:lang w:val="pl-PL"/>
              </w:rPr>
              <w:t xml:space="preserve">, państwa osi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ukształtowanie się osi Rzym–Berlin–Tokio (1936–1937), </w:t>
            </w:r>
            <w:proofErr w:type="spellStart"/>
            <w:r w:rsidRPr="00F24910">
              <w:rPr>
                <w:rFonts w:ascii="Times New Roman" w:hAnsi="Times New Roman" w:cs="Times New Roman"/>
                <w:sz w:val="20"/>
                <w:szCs w:val="20"/>
                <w:lang w:val="pl-PL"/>
              </w:rPr>
              <w:t>Anschluss</w:t>
            </w:r>
            <w:proofErr w:type="spellEnd"/>
            <w:r w:rsidRPr="00F24910">
              <w:rPr>
                <w:rFonts w:ascii="Times New Roman" w:hAnsi="Times New Roman" w:cs="Times New Roman"/>
                <w:sz w:val="20"/>
                <w:szCs w:val="20"/>
                <w:lang w:val="pl-PL"/>
              </w:rPr>
              <w:t xml:space="preserve"> Austrii (III 1938), aneksję Czechosłowacji przez Niemcy (III 1939)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przestrzeni zdobycze Niemiec po przejęciu władzy przez Hitlera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Benita Mussoliniego, Adolfa Hitlera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Blitzkrieg, appeasement</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wojnę domową w Hiszpanii (VII 1936 – III 1939), układ monachijski (IX 1938)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Francisca Franco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wymienia działania Adolfa Hitlera zmierzające do uczynienia z Niemiec potęgi militarnej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jakich okolicznościach doszło do zwołania międzynarodowej konferencji  w Monachium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postanowienia konferencji monachijskiej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na czym polegała polityka </w:t>
            </w:r>
            <w:proofErr w:type="spellStart"/>
            <w:r w:rsidRPr="00F24910">
              <w:rPr>
                <w:rFonts w:ascii="Times New Roman" w:hAnsi="Times New Roman" w:cs="Times New Roman"/>
                <w:sz w:val="20"/>
                <w:szCs w:val="20"/>
                <w:lang w:val="pl-PL"/>
              </w:rPr>
              <w:t>appeasementu</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przyczyny i skutki </w:t>
            </w:r>
            <w:proofErr w:type="spellStart"/>
            <w:r w:rsidRPr="00F24910">
              <w:rPr>
                <w:rFonts w:ascii="Times New Roman" w:hAnsi="Times New Roman" w:cs="Times New Roman"/>
                <w:sz w:val="20"/>
                <w:szCs w:val="20"/>
                <w:lang w:val="pl-PL"/>
              </w:rPr>
              <w:t>Anschlussu</w:t>
            </w:r>
            <w:proofErr w:type="spellEnd"/>
            <w:r w:rsidRPr="00F24910">
              <w:rPr>
                <w:rFonts w:ascii="Times New Roman" w:hAnsi="Times New Roman" w:cs="Times New Roman"/>
                <w:sz w:val="20"/>
                <w:szCs w:val="20"/>
                <w:lang w:val="pl-PL"/>
              </w:rPr>
              <w:t xml:space="preserve"> Austrii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etapy ekspansji terytorialnej nazistowskich Niemiec w latach 30. XX w.</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pakt antykominternowski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powstanie cesarstwa </w:t>
            </w:r>
            <w:proofErr w:type="spellStart"/>
            <w:r w:rsidRPr="00F24910">
              <w:rPr>
                <w:rFonts w:ascii="Times New Roman" w:hAnsi="Times New Roman" w:cs="Times New Roman"/>
                <w:sz w:val="20"/>
                <w:szCs w:val="20"/>
                <w:lang w:val="pl-PL"/>
              </w:rPr>
              <w:t>Mandżukuo</w:t>
            </w:r>
            <w:proofErr w:type="spellEnd"/>
            <w:r w:rsidRPr="00F24910">
              <w:rPr>
                <w:rFonts w:ascii="Times New Roman" w:hAnsi="Times New Roman" w:cs="Times New Roman"/>
                <w:sz w:val="20"/>
                <w:szCs w:val="20"/>
                <w:lang w:val="pl-PL"/>
              </w:rPr>
              <w:t xml:space="preserve"> (1931), początek niemieckich zbrojeń (1935), napaść Włoch na Etiopię (X 1935 – V 1936), remilitaryzację Nadrenii (1936), napaść Japonii na </w:t>
            </w:r>
            <w:r w:rsidRPr="00F24910">
              <w:rPr>
                <w:rFonts w:ascii="Times New Roman" w:hAnsi="Times New Roman" w:cs="Times New Roman"/>
                <w:sz w:val="20"/>
                <w:szCs w:val="20"/>
                <w:lang w:val="pl-PL"/>
              </w:rPr>
              <w:lastRenderedPageBreak/>
              <w:t>Chiny (1937),  , zajęcia Albanii przez Włochy (1939), aneksję Kłajpedy przez Niemcy (III 1939)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w:t>
            </w:r>
            <w:proofErr w:type="spellStart"/>
            <w:r w:rsidRPr="00F24910">
              <w:rPr>
                <w:rFonts w:ascii="Times New Roman" w:hAnsi="Times New Roman" w:cs="Times New Roman"/>
                <w:sz w:val="20"/>
                <w:szCs w:val="20"/>
                <w:lang w:val="pl-PL"/>
              </w:rPr>
              <w:t>Neville’a</w:t>
            </w:r>
            <w:proofErr w:type="spellEnd"/>
            <w:r w:rsidRPr="00F24910">
              <w:rPr>
                <w:rFonts w:ascii="Times New Roman" w:hAnsi="Times New Roman" w:cs="Times New Roman"/>
                <w:sz w:val="20"/>
                <w:szCs w:val="20"/>
                <w:lang w:val="pl-PL"/>
              </w:rPr>
              <w:t xml:space="preserve"> Chamberlaina, </w:t>
            </w:r>
            <w:proofErr w:type="spellStart"/>
            <w:r w:rsidRPr="00F24910">
              <w:rPr>
                <w:rFonts w:ascii="Times New Roman" w:hAnsi="Times New Roman" w:cs="Times New Roman"/>
                <w:sz w:val="20"/>
                <w:szCs w:val="20"/>
                <w:lang w:val="pl-PL"/>
              </w:rPr>
              <w:t>Edouarda</w:t>
            </w:r>
            <w:proofErr w:type="spellEnd"/>
            <w:r w:rsidRPr="00F24910">
              <w:rPr>
                <w:rFonts w:ascii="Times New Roman" w:hAnsi="Times New Roman" w:cs="Times New Roman"/>
                <w:sz w:val="20"/>
                <w:szCs w:val="20"/>
                <w:lang w:val="pl-PL"/>
              </w:rPr>
              <w:t xml:space="preserve"> Daladiera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ekspansję terytorialną Japonii </w:t>
            </w:r>
            <w:r w:rsidRPr="00F24910">
              <w:rPr>
                <w:rFonts w:ascii="Times New Roman" w:hAnsi="Times New Roman" w:cs="Times New Roman"/>
                <w:sz w:val="20"/>
                <w:szCs w:val="20"/>
                <w:lang w:val="pl-PL"/>
              </w:rPr>
              <w:br/>
              <w:t>w Azji i jej skutki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podboje Włoch w Afryce i Europie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proces militaryzacji Niemiec</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proces budowania sojuszy polityczno-militarnych przez III Rzeszę</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losy Czechosłowacji po konferencji monachijskiej</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wystąpienie Włoch z Ligi Narodów (1936), rzeź nankińską (1937/1938), zniszczenie </w:t>
            </w:r>
            <w:proofErr w:type="spellStart"/>
            <w:r w:rsidRPr="00F24910">
              <w:rPr>
                <w:rFonts w:ascii="Times New Roman" w:hAnsi="Times New Roman" w:cs="Times New Roman"/>
                <w:sz w:val="20"/>
                <w:szCs w:val="20"/>
                <w:lang w:val="pl-PL"/>
              </w:rPr>
              <w:t>Guerniki</w:t>
            </w:r>
            <w:proofErr w:type="spellEnd"/>
            <w:r w:rsidRPr="00F24910">
              <w:rPr>
                <w:rFonts w:ascii="Times New Roman" w:hAnsi="Times New Roman" w:cs="Times New Roman"/>
                <w:sz w:val="20"/>
                <w:szCs w:val="20"/>
                <w:lang w:val="pl-PL"/>
              </w:rPr>
              <w:t xml:space="preserve"> (1937)</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Hajle </w:t>
            </w:r>
            <w:proofErr w:type="spellStart"/>
            <w:r w:rsidRPr="00F24910">
              <w:rPr>
                <w:rFonts w:ascii="Times New Roman" w:hAnsi="Times New Roman" w:cs="Times New Roman"/>
                <w:sz w:val="20"/>
                <w:szCs w:val="20"/>
                <w:lang w:val="pl-PL"/>
              </w:rPr>
              <w:t>Sellasjego</w:t>
            </w:r>
            <w:proofErr w:type="spellEnd"/>
            <w:r w:rsidRPr="00F24910">
              <w:rPr>
                <w:rFonts w:ascii="Times New Roman" w:hAnsi="Times New Roman" w:cs="Times New Roman"/>
                <w:sz w:val="20"/>
                <w:szCs w:val="20"/>
                <w:lang w:val="pl-PL"/>
              </w:rPr>
              <w:t xml:space="preserve">, Emila </w:t>
            </w:r>
            <w:proofErr w:type="spellStart"/>
            <w:r w:rsidRPr="00F24910">
              <w:rPr>
                <w:rFonts w:ascii="Times New Roman" w:hAnsi="Times New Roman" w:cs="Times New Roman"/>
                <w:sz w:val="20"/>
                <w:szCs w:val="20"/>
                <w:lang w:val="pl-PL"/>
              </w:rPr>
              <w:t>Hachy</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przyczyny wojny domowej w Hiszpanii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 wpływ na przebieg wojny w Hiszpanii miało wsparcie niemieckie i włoskie udzielone gen. Francisco Franco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kto i dlaczego opowiedział się po stronie wojsk republikańskich w wojnie domowej w Hiszpanii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porównuje politykę podbojów Włoch i III Rzeszy w okresie międzywojennym</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postawę państw europejskich wobec wojny domowej w Hiszpanii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ocenia skutki stosowania polityki </w:t>
            </w:r>
            <w:proofErr w:type="spellStart"/>
            <w:r w:rsidRPr="00F24910">
              <w:rPr>
                <w:rFonts w:ascii="Times New Roman" w:hAnsi="Times New Roman" w:cs="Times New Roman"/>
                <w:i/>
                <w:sz w:val="20"/>
                <w:szCs w:val="20"/>
                <w:lang w:val="pl-PL"/>
              </w:rPr>
              <w:t>appeasementu</w:t>
            </w:r>
            <w:proofErr w:type="spellEnd"/>
            <w:r w:rsidRPr="00F24910">
              <w:rPr>
                <w:rFonts w:ascii="Times New Roman" w:hAnsi="Times New Roman" w:cs="Times New Roman"/>
                <w:i/>
                <w:sz w:val="20"/>
                <w:szCs w:val="20"/>
                <w:lang w:val="pl-PL"/>
              </w:rPr>
              <w:t xml:space="preserve"> </w:t>
            </w:r>
            <w:r w:rsidRPr="00F24910">
              <w:rPr>
                <w:rFonts w:ascii="Times New Roman" w:hAnsi="Times New Roman" w:cs="Times New Roman"/>
                <w:sz w:val="20"/>
                <w:szCs w:val="20"/>
                <w:lang w:val="pl-PL"/>
              </w:rPr>
              <w:t>wobec Adolfa Hitlera</w:t>
            </w:r>
          </w:p>
        </w:tc>
      </w:tr>
      <w:tr w:rsidR="00F24910" w:rsidRPr="00F24910" w:rsidTr="00E1793C">
        <w:trPr>
          <w:trHeight w:val="340"/>
        </w:trPr>
        <w:tc>
          <w:tcPr>
            <w:tcW w:w="15014"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F24910" w:rsidRPr="00F24910" w:rsidRDefault="00F24910" w:rsidP="00F24910">
            <w:pPr>
              <w:rPr>
                <w:rFonts w:ascii="Times New Roman" w:hAnsi="Times New Roman" w:cs="Times New Roman"/>
                <w:b/>
                <w:bCs/>
                <w:sz w:val="20"/>
                <w:szCs w:val="20"/>
                <w:lang w:val="pl-PL"/>
              </w:rPr>
            </w:pPr>
            <w:r w:rsidRPr="00F24910">
              <w:rPr>
                <w:rFonts w:ascii="Times New Roman" w:hAnsi="Times New Roman" w:cs="Times New Roman"/>
                <w:b/>
                <w:sz w:val="20"/>
                <w:szCs w:val="20"/>
                <w:lang w:val="pl-PL"/>
              </w:rPr>
              <w:t>Rozdział VII. II Rzeczpospolita</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Odrodzenie Rzeczypospolitej</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Pierwsze ośrodki władzy</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Odzyskanie niepodległości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Ustrój nowego państwa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lastRenderedPageBreak/>
              <w:t>Trudne początki niepodległości</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przejęcie przez Józefa Piłsudskiego władzy wojskowej w Polsce (11 XI 1918), uchwalenie </w:t>
            </w:r>
            <w:r w:rsidRPr="00F24910">
              <w:rPr>
                <w:rFonts w:ascii="Times New Roman" w:hAnsi="Times New Roman" w:cs="Times New Roman"/>
                <w:sz w:val="20"/>
                <w:szCs w:val="20"/>
                <w:lang w:val="pl-PL"/>
              </w:rPr>
              <w:lastRenderedPageBreak/>
              <w:t>małej konstytucji (20 II 1919)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Józefa Piłsudskiego, Ignacego Jana Paderewskiego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dlaczego dzień 11 listopada 1918 r. jest uważany za datę odzyskania przez Polskę niepodległości</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działalność Rady Regencyjnej (X 1917 – XI 1918), objęcie przez Józefa Piłsudskiego funkcji Tymczasowego </w:t>
            </w:r>
            <w:r w:rsidRPr="00F24910">
              <w:rPr>
                <w:rFonts w:ascii="Times New Roman" w:hAnsi="Times New Roman" w:cs="Times New Roman"/>
                <w:sz w:val="20"/>
                <w:szCs w:val="20"/>
                <w:lang w:val="pl-PL"/>
              </w:rPr>
              <w:lastRenderedPageBreak/>
              <w:t>Naczelnika Państwa (XI 1918), otwarcie obrad Sejmu Ustawodawczego (II 1920)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siedziby pierwszych ośrodków władzy na ziemiach polskich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Ignacego Daszyńskiego, Wincentego Witosa, Jędrzeja Moraczewskiego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wydarzenia, które doprowadziły do odzyskanie przez Polskę niepodległości  w 1918 r.</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lokalne ośrodki polskiej władzy powstałe w 1918 r.</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opisuje problemy, na jakie napotykała integracja ziem wchodzących w skład odrodzonego państwa</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powstanie Tymczasowego Rządu Ludowego Republiki Polskiej (XI 1918), rząd Jędrzeja </w:t>
            </w:r>
            <w:r w:rsidRPr="00F24910">
              <w:rPr>
                <w:rFonts w:ascii="Times New Roman" w:hAnsi="Times New Roman" w:cs="Times New Roman"/>
                <w:sz w:val="20"/>
                <w:szCs w:val="20"/>
                <w:lang w:val="pl-PL"/>
              </w:rPr>
              <w:lastRenderedPageBreak/>
              <w:t>Moraczewskiego (XI 1918 – I 1919), wybory do Sejmu Ustawodawczego (I 1919), rząd Ignacego Jana Paderewskiego (I – XII 1919)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porównuje programy lokalnych ośrodków polskiej władzy powstałych w 1918 r.</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ustrój II Rzeczypospolitej wynikający z małej konstytucji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kolejne etapy odradzania się państwa polskiego</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przedstawia i ocenia reformy rządu Jędrzeja Moraczewskiego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przedstawia zniszczenia wojenne na ziemiach polskich</w:t>
            </w: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rolę Józefa Piłsudskiego w procesie kształtowania się początków niepodległości</w:t>
            </w:r>
            <w:r w:rsidRPr="00F24910">
              <w:rPr>
                <w:rFonts w:ascii="Times New Roman" w:hAnsi="Times New Roman" w:cs="Times New Roman"/>
                <w:sz w:val="20"/>
                <w:szCs w:val="20"/>
                <w:lang w:val="pl-PL"/>
              </w:rPr>
              <w:br/>
              <w:t xml:space="preserve">- wyjaśnia, jakie </w:t>
            </w:r>
            <w:r w:rsidRPr="00F24910">
              <w:rPr>
                <w:rFonts w:ascii="Times New Roman" w:hAnsi="Times New Roman" w:cs="Times New Roman"/>
                <w:sz w:val="20"/>
                <w:szCs w:val="20"/>
                <w:lang w:val="pl-PL"/>
              </w:rPr>
              <w:lastRenderedPageBreak/>
              <w:t>znaczenie dla odrodzonego państwa polskiego miało objęcie urzędu premiera przez Ignacego Jana Paderewskiego</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Kształtowanie się granicy zachodniej i południowej</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Jaka powinna być odrodzona Polska?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Powstanie wielkopolskie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lastRenderedPageBreak/>
              <w:t>Powrót Pomorza do Polski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Wolne Miasto Gdańsk</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I powstanie śląskie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II powstanie śląskie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Plebiscyt i III powstanie śląskie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Spór o Śląsk Cieszyński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Plebiscyt na Warmii, Mazurach i Powiślu</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plebiscyt</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tereny, który były przedmiotem sporu między Rzecząpospolitą </w:t>
            </w:r>
            <w:r w:rsidRPr="00F24910">
              <w:rPr>
                <w:rFonts w:ascii="Times New Roman" w:hAnsi="Times New Roman" w:cs="Times New Roman"/>
                <w:sz w:val="20"/>
                <w:szCs w:val="20"/>
                <w:lang w:val="pl-PL"/>
              </w:rPr>
              <w:lastRenderedPageBreak/>
              <w:t xml:space="preserve">a Niemcami po I wojnie światowej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przestrzeni obszary plebiscytowe, skutki plebiscytów na Warmii, Mazurach, Powiślu i Górnym Śląsku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Romana Dmowskiego, Józefa Piłsudskiego, Ignacego Jana Paderewskiego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założenia koncepcji inkorporacyjnej i federacyjnej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koncepcja inkorporacyjna, koncepcja federacyjna (koncepcja jagiellońska)</w:t>
            </w:r>
            <w:r w:rsidRPr="00F24910">
              <w:rPr>
                <w:rFonts w:ascii="Times New Roman" w:hAnsi="Times New Roman" w:cs="Times New Roman"/>
                <w:sz w:val="20"/>
                <w:szCs w:val="20"/>
                <w:lang w:val="pl-PL"/>
              </w:rPr>
              <w:t xml:space="preserv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powstanie wielkopolskie (27 XII 1918 – 16 II 1919), I powstanie śląskie (VIII 1919), plebiscyt na Warmii, Mazurach i Powiślu (VII 1920), II powstanie śląskie (VIII 1920), plebiscyt na Górnym Śląsku (III 1921), III powstanie śląskie (V-VII 1921)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przestrzeni zasięg powstania wielkopolskiego, miejsce symbolicznych zaślubin Polski z morzem, Wolne Miasto Gdańsk, zasięg powstań śląskich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Józefa Hallera, Wojciecha Korfantego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przebieg i skutki powstania wielkopolskiego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znaczenie powrotu Pomorza do Polski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przyczyny i skutki powstań śląskich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wyniki plebiscytów na Górnym Śląsku oraz na Warmii, Mazurach i Powiślu</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przyczyny i skutki sporu polsko-czeskiego o Śląsk Cieszyński</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przybycie I.J. Paderewskiego do Poznania (26 XII 1918), podpisanie traktatu wersalskiego (VI 1919), </w:t>
            </w:r>
            <w:r w:rsidRPr="00F24910">
              <w:rPr>
                <w:rFonts w:ascii="Times New Roman" w:hAnsi="Times New Roman" w:cs="Times New Roman"/>
                <w:sz w:val="20"/>
                <w:szCs w:val="20"/>
                <w:lang w:val="pl-PL"/>
              </w:rPr>
              <w:lastRenderedPageBreak/>
              <w:t>zaślubiny Polski z morzem (II 1920)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Stanisława Taczaka, Józefa Dowbora-Muśnickiego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okoliczności wybuchu powstania wielkopolskiego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 sposób rozstrzygnięto polsko-niemiecki spór o Pomorze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międzynarodowe decyzje, jakie zapadły w kwestii podziału Górnego Śląska po III powstaniu śląskim</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stosuje pojęcie</w:t>
            </w:r>
            <w:r w:rsidRPr="00F24910">
              <w:rPr>
                <w:rFonts w:ascii="Times New Roman" w:hAnsi="Times New Roman" w:cs="Times New Roman"/>
                <w:i/>
                <w:sz w:val="20"/>
                <w:szCs w:val="20"/>
                <w:lang w:val="pl-PL"/>
              </w:rPr>
              <w:t xml:space="preserve"> konwencja górnośląska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lokalizuje w czasie rozejmu w Trewirze (II 1919), podział Śląska Cieszyńskiego (VII </w:t>
            </w:r>
            <w:r w:rsidRPr="00F24910">
              <w:rPr>
                <w:rFonts w:ascii="Times New Roman" w:hAnsi="Times New Roman" w:cs="Times New Roman"/>
                <w:sz w:val="20"/>
                <w:szCs w:val="20"/>
                <w:lang w:val="pl-PL"/>
              </w:rPr>
              <w:lastRenderedPageBreak/>
              <w:t>1919), podział Górnego Śląska (X 1921)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porównuje i ocenia koncepcje polityczne dotyczące kształtu odrodzonej Rzeczypospolitej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uprawnienia, jakie przyznano Polsce w Wolnym Mieście Gdańsku</w:t>
            </w: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czy podział Górnego Śląska po III powstaniu śląskim był korzystny dla Polski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problemy, które mogły wynikać z </w:t>
            </w:r>
            <w:r w:rsidRPr="00F24910">
              <w:rPr>
                <w:rFonts w:ascii="Times New Roman" w:hAnsi="Times New Roman" w:cs="Times New Roman"/>
                <w:sz w:val="20"/>
                <w:szCs w:val="20"/>
                <w:lang w:val="pl-PL"/>
              </w:rPr>
              <w:lastRenderedPageBreak/>
              <w:t>podziału Górnego Śląska oraz zapisów traktatu wersalskiego dotyczących Pomorza</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Walki o granicę wschodnią</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Konflikt polsko-ukraiński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Początek konfliktu z bolszewikami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Ofensywa bolszewików</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Bitwa Warszawska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Pokój ryski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Sprawa Wileńszczyzny</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cud nad Wisłą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wojnę polsko-bolszewicka (14 II 1919 – 18 III 1921), pokój ryski (18 III 1921)</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i przestrzeni Bitwę Warszawską (13-15 VIII 1920)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Józefa Piłsudskiego</w:t>
            </w:r>
          </w:p>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wyjaśnia, dlaczego Bitwę Warszawską nazwano </w:t>
            </w:r>
            <w:r w:rsidRPr="00F24910">
              <w:rPr>
                <w:rFonts w:ascii="Times New Roman" w:hAnsi="Times New Roman" w:cs="Times New Roman"/>
                <w:i/>
                <w:sz w:val="20"/>
                <w:szCs w:val="20"/>
                <w:lang w:val="pl-PL"/>
              </w:rPr>
              <w:t>cudem nad Wisłą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postanowienia pokoju ryskiego</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Orlęta Lwowskie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wojnę polsko-ukraińską (XI 1918 – VII 1919), utworzenie Litwy Środkowej (X 1920), operację niemeńską (IX 1920)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granicę określoną w pokoju ryskim, terytorium Litwy Środkowej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i przestrzeni bitwę pod Komarowem (VIII 1920)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Michaiła Tuchaczewskiego, Tadeusza Rozwadowskiego, Lucjana Żeligowskiego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przebieg wojny polsko-bolszewickiej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jaką rolę odgrywała wojna propagandowa prowadzona w 1920 r. przez obie strony konfliktu</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na czym polegał polski plan obrony Warszawy przed wojskami bolszewickimi</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linia Curzona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zawarcie sojuszu II RP z URL (IV 1920), utworzenie Rady Obrony Państwa (VII 1920)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i przestrzeni zajęcie Kijowa przez wojska polskie i ukraińskie (V 1920)</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linię Curzona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w:t>
            </w:r>
            <w:proofErr w:type="spellStart"/>
            <w:r w:rsidRPr="00F24910">
              <w:rPr>
                <w:rFonts w:ascii="Times New Roman" w:hAnsi="Times New Roman" w:cs="Times New Roman"/>
                <w:sz w:val="20"/>
                <w:szCs w:val="20"/>
                <w:lang w:val="pl-PL"/>
              </w:rPr>
              <w:t>Symona</w:t>
            </w:r>
            <w:proofErr w:type="spellEnd"/>
            <w:r w:rsidRPr="00F24910">
              <w:rPr>
                <w:rFonts w:ascii="Times New Roman" w:hAnsi="Times New Roman" w:cs="Times New Roman"/>
                <w:sz w:val="20"/>
                <w:szCs w:val="20"/>
                <w:lang w:val="pl-PL"/>
              </w:rPr>
              <w:t xml:space="preserve"> Petlury, Władysława Grabskiego, Wincentego Witosa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walki Polaków o Lwów, Galicję Wschodnią i Wołyń w latach 1918-1919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wyjaśnia, w jakich okolicznościach doszło do zawarcia sojuszu polsko-ukraińskiego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skutki polityczne i militarne miała ofensywa bolszewików w 1920 r.</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etapy Bitwy Warszawskiej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porównuje siły obu armii biorących udział w Bitwie Warszawskiej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co zdecydowało o sukcesie Polaków w Bitwie Warszawskiej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 sposób rozwiązano polsko-litewski spór o Wilno</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zawarcie traktatu brzeskiego z URL (II 1918)</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Feliksa Dzierżyńskiego, Juliana Marchlewskiego, Siemiona Budionnego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proces tworzenia się państwowości ukraińskiej w Galicji Wschodniej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postanowienia konferencji w Spa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skutki polityczne i militarne konferencji w Spa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pertraktacje polsko-sowieckie w Mińsku i ich konsekwencje</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polityczne i militarne znaczenie Bitwy Warszawskiej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ocenia sposób rozwiązania polsko-litewskiego sporu </w:t>
            </w:r>
            <w:r w:rsidRPr="00F24910">
              <w:rPr>
                <w:rFonts w:ascii="Times New Roman" w:hAnsi="Times New Roman" w:cs="Times New Roman"/>
                <w:sz w:val="20"/>
                <w:szCs w:val="20"/>
                <w:lang w:val="pl-PL"/>
              </w:rPr>
              <w:br/>
              <w:t>o Wilno</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Rządy parlamentarne</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Konstytucja marcowa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Scena polityczna II Rzeczypospolitej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Elekcja i śmierć prezydenta Narutowicza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Rządy parlamentarne w II Rzeczypospolitej</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uchwalenie konstytucji marcowej (17 III 1921), zabójstwo prezydenta G. Narutowicza (16 XII 1922)</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postać Gabriela Narutowicza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ustrój II Rzeczypospolitej na </w:t>
            </w:r>
            <w:r w:rsidRPr="00F24910">
              <w:rPr>
                <w:rFonts w:ascii="Times New Roman" w:hAnsi="Times New Roman" w:cs="Times New Roman"/>
                <w:sz w:val="20"/>
                <w:szCs w:val="20"/>
                <w:lang w:val="pl-PL"/>
              </w:rPr>
              <w:lastRenderedPageBreak/>
              <w:t>podstawie konstytucji marcowej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wybór G. Narutowicza na prezydenta (9 XII 1922)</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Macieja Rataja, Stanisława Wojciechowskiego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przedstawia zakres paw i wolności obywatelskich </w:t>
            </w:r>
            <w:r w:rsidRPr="00F24910">
              <w:rPr>
                <w:rFonts w:ascii="Times New Roman" w:hAnsi="Times New Roman" w:cs="Times New Roman"/>
                <w:sz w:val="20"/>
                <w:szCs w:val="20"/>
                <w:lang w:val="pl-PL"/>
              </w:rPr>
              <w:lastRenderedPageBreak/>
              <w:t>określonych w konstytucji marcowej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rządy parlamentarne w II Rzeczypospolitej</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utworzenie Komisji Konstytucyjnej (II 1919), wybory do Sejmu I kadencji (XI 1922)</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Władysława Sikorskiego, Maurycego Zamoyskiego, Ignacego Daszyńskiego, Jana </w:t>
            </w:r>
            <w:r w:rsidRPr="00F24910">
              <w:rPr>
                <w:rFonts w:ascii="Times New Roman" w:hAnsi="Times New Roman" w:cs="Times New Roman"/>
                <w:sz w:val="20"/>
                <w:szCs w:val="20"/>
                <w:lang w:val="pl-PL"/>
              </w:rPr>
              <w:lastRenderedPageBreak/>
              <w:t xml:space="preserve">Baudouina de </w:t>
            </w:r>
            <w:proofErr w:type="spellStart"/>
            <w:r w:rsidRPr="00F24910">
              <w:rPr>
                <w:rFonts w:ascii="Times New Roman" w:hAnsi="Times New Roman" w:cs="Times New Roman"/>
                <w:sz w:val="20"/>
                <w:szCs w:val="20"/>
                <w:lang w:val="pl-PL"/>
              </w:rPr>
              <w:t>Courtenay</w:t>
            </w:r>
            <w:proofErr w:type="spellEnd"/>
            <w:r w:rsidRPr="00F24910">
              <w:rPr>
                <w:rFonts w:ascii="Times New Roman" w:hAnsi="Times New Roman" w:cs="Times New Roman"/>
                <w:sz w:val="20"/>
                <w:szCs w:val="20"/>
                <w:lang w:val="pl-PL"/>
              </w:rPr>
              <w:t>, Władysława Grabskiego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proces prac nad konstytucją marcową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scenę polityczną II Rzeczypospolitej</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proces wyboru pierwszego prezydenta II Rzeczypospolitej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zakres kompetencji prezydenta zapisanych w konstytucji marcowej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rządy parlamentarne w II Rzeczypospolitej</w:t>
            </w:r>
          </w:p>
        </w:tc>
      </w:tr>
      <w:tr w:rsidR="00F24910" w:rsidRPr="001D2EE5" w:rsidTr="00E1793C">
        <w:trPr>
          <w:trHeight w:val="269"/>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Przewrót majowy i rządy sanacji</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Kryzys rządów parlamentarnych</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Przewrót majowy</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Nowela sierpniowa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Rządy sanacyjne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Konstytucja kwietniowa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Represje wobec opozycji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Obóz sanacyjny po śmierci Piłsudskiego</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Polski autorytaryzm</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stosuje pojęcia</w:t>
            </w:r>
            <w:r w:rsidRPr="00F24910">
              <w:rPr>
                <w:rFonts w:ascii="Times New Roman" w:hAnsi="Times New Roman" w:cs="Times New Roman"/>
                <w:i/>
                <w:sz w:val="20"/>
                <w:szCs w:val="20"/>
                <w:lang w:val="pl-PL"/>
              </w:rPr>
              <w:t xml:space="preserve"> sanacja, autorytaryzm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przewrót majowy (12-15 V 1926), konstytucję kwietniową (24 IV 1935)</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Józefa Piłsudskiego, Ignacego Mościckiego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skutki polityczne przewrotu majowego</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partyjniactwo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prezydenturę I. Mościckiego (VI 1926 – IX 1939), uchwalenie noweli sierpniowej (1926), wybory brzeskie (XI 1930), śmierć J. Piłsudskiego (12 V 1935)</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Wincentego Witosa, Stanisława Wojciechowskiego, Józefa Becka, Edwarda Rydza-Śmigłego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jakie zmiany ustrojowe wprowadziła konstytucja kwietniowa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na czym polegała dekompozycja obozu sanacji po śmierci Józefa Piłsudskiego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cechy ustroju autorytarnego w Polsce</w:t>
            </w:r>
          </w:p>
          <w:p w:rsidR="00F24910" w:rsidRPr="00F24910" w:rsidRDefault="00F24910" w:rsidP="00F24910">
            <w:pPr>
              <w:rPr>
                <w:rFonts w:ascii="Times New Roman" w:hAnsi="Times New Roman" w:cs="Times New Roman"/>
                <w:sz w:val="20"/>
                <w:szCs w:val="20"/>
                <w:lang w:val="pl-PL"/>
              </w:rPr>
            </w:pP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 xml:space="preserve">wybory brzeskie, getto ławkowe, numerus clausus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powstanie BBWR (1928), Kongres</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Obrony Prawa i Wolności Ludu (VI 1930), proces brzeski (1931–1932)</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Kazimierza Bartla, Walerego Sławka, Adama Koca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przejawy kryzysu politycznego w Polsce w połowie lat 20. XX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jaką rolę miał odgrywać BBWR w polskim życiu politycznym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przebieg przewrotu majowego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ugrupowania opozycyjne wobec rządów sanacji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w jaki sposób sanacja rozprawiła się w opozycją polityczną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t>
            </w: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założenie obozu w Berezie Kartuskiej (1934), powstanie OZN (1937), powstanie Frontu </w:t>
            </w:r>
            <w:proofErr w:type="spellStart"/>
            <w:r w:rsidRPr="00F24910">
              <w:rPr>
                <w:rFonts w:ascii="Times New Roman" w:hAnsi="Times New Roman" w:cs="Times New Roman"/>
                <w:sz w:val="20"/>
                <w:szCs w:val="20"/>
                <w:lang w:val="pl-PL"/>
              </w:rPr>
              <w:t>Morges</w:t>
            </w:r>
            <w:proofErr w:type="spellEnd"/>
            <w:r w:rsidRPr="00F24910">
              <w:rPr>
                <w:rFonts w:ascii="Times New Roman" w:hAnsi="Times New Roman" w:cs="Times New Roman"/>
                <w:sz w:val="20"/>
                <w:szCs w:val="20"/>
                <w:lang w:val="pl-PL"/>
              </w:rPr>
              <w:t xml:space="preserve"> (1936), powstanie ONR (1934)</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postać Bronisława </w:t>
            </w:r>
            <w:proofErr w:type="spellStart"/>
            <w:r w:rsidRPr="00F24910">
              <w:rPr>
                <w:rFonts w:ascii="Times New Roman" w:hAnsi="Times New Roman" w:cs="Times New Roman"/>
                <w:sz w:val="20"/>
                <w:szCs w:val="20"/>
                <w:lang w:val="pl-PL"/>
              </w:rPr>
              <w:t>Pierackiego</w:t>
            </w:r>
            <w:proofErr w:type="spellEnd"/>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porównuje pozycję i uprawnienia prezydenta w konstytucji marcowej i kwietniowej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przejawy antysemityzmu na polskich uczelniach w II Rzeczypospolitej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t>
            </w: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wpływ kryzysu wewnętrznego na pozycje międzynarodową II Rzeczypospolitej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decyzję Józefa Piłsudskiego o dokonaniu przewrotu politycznego w Polsce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politykę rządów sanacji wobec opozycji</w:t>
            </w: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Społeczeństwo i gospodarka II Rzeczypospolitej</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Społeczeństwo II Rzeczypospolitej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Mniejszości narodowe w Rzeczypospolitej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Problemy gospodarcze II Rzeczypospolitej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Reformy Grabskiego</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Budowa portu w Gdyni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Inwestycje przemysłowe w latach 30.</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xml:space="preserve">- stosuje pojęcie </w:t>
            </w:r>
            <w:r w:rsidRPr="00F24910">
              <w:rPr>
                <w:rFonts w:ascii="Times New Roman" w:hAnsi="Times New Roman" w:cs="Times New Roman"/>
                <w:i/>
                <w:sz w:val="20"/>
                <w:szCs w:val="20"/>
                <w:lang w:val="pl-PL"/>
              </w:rPr>
              <w:t>Polska A i B</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wprowadzenie reformy walutowej (1924), budowę Centralnego Okręgu Przemysłowego (1936–1939)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Centralny Okręg Przemysłowy, podział na Polskę A i B</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Eugeniusza Kwiatkowskiego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mniejszości narodowe i wyznaniowe w społeczeństwie II Rzeczypospolitej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wyjaśnia, dlaczego Gdynia była nazywana polskim oknem na świat</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pojęcie </w:t>
            </w:r>
            <w:r w:rsidRPr="00F24910">
              <w:rPr>
                <w:rFonts w:ascii="Times New Roman" w:hAnsi="Times New Roman" w:cs="Times New Roman"/>
                <w:i/>
                <w:sz w:val="20"/>
                <w:szCs w:val="20"/>
                <w:lang w:val="pl-PL"/>
              </w:rPr>
              <w:t>wojna celna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rozpoczęcie budowy portu w Gdyni (1921), uchwalenie ustawy o reformie rolnej (1925), wojnę celną (1925–1934)</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główne okręgi przemysłowe II Rzeczypospolitej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Władysława Grabskiego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strukturę etniczną, wyznaniową i zawodową społeczeństwa II Rzeczypospolitej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najważniejsze problemy gospodarcze, przed </w:t>
            </w:r>
            <w:r w:rsidRPr="00F24910">
              <w:rPr>
                <w:rFonts w:ascii="Times New Roman" w:hAnsi="Times New Roman" w:cs="Times New Roman"/>
                <w:sz w:val="20"/>
                <w:szCs w:val="20"/>
                <w:lang w:val="pl-PL"/>
              </w:rPr>
              <w:lastRenderedPageBreak/>
              <w:t>którymi stanęła II Rzeczpospolita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na czym polegała i jakie miała skutki wojna celna z Niemcami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cechy charakterystyczne Wielkiego Kryzysu w Polsce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jaką rolę miał odegrać COP w rozwoju gospodarczym Polski</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przestrzeni województwa, w których dominowali przedstawiciele mniejszości narodowych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charakteryzuje mniejszości narodowe zamieszkujące </w:t>
            </w:r>
            <w:r w:rsidRPr="00F24910">
              <w:rPr>
                <w:rFonts w:ascii="Times New Roman" w:hAnsi="Times New Roman" w:cs="Times New Roman"/>
                <w:sz w:val="20"/>
                <w:szCs w:val="20"/>
                <w:lang w:val="pl-PL"/>
              </w:rPr>
              <w:br/>
              <w:t>II Rzeczpospolitą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przedstawia okoliczności budowy portu </w:t>
            </w:r>
            <w:r w:rsidRPr="00F24910">
              <w:rPr>
                <w:rFonts w:ascii="Times New Roman" w:hAnsi="Times New Roman" w:cs="Times New Roman"/>
                <w:sz w:val="20"/>
                <w:szCs w:val="20"/>
                <w:lang w:val="pl-PL"/>
              </w:rPr>
              <w:br/>
              <w:t>w Gdyni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przykłady inwestycji zrealizowanych w ramach COP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przedstawia zasługi Eugeniusza Kwiatkowskiego dla rozwoju polskiej </w:t>
            </w:r>
            <w:r w:rsidRPr="00F24910">
              <w:rPr>
                <w:rFonts w:ascii="Times New Roman" w:hAnsi="Times New Roman" w:cs="Times New Roman"/>
                <w:sz w:val="20"/>
                <w:szCs w:val="20"/>
                <w:lang w:val="pl-PL"/>
              </w:rPr>
              <w:lastRenderedPageBreak/>
              <w:t>gospodarki</w:t>
            </w:r>
            <w:r w:rsidRPr="00F24910">
              <w:rPr>
                <w:rFonts w:ascii="Times New Roman" w:hAnsi="Times New Roman" w:cs="Times New Roman"/>
                <w:sz w:val="20"/>
                <w:szCs w:val="20"/>
                <w:lang w:val="pl-PL"/>
              </w:rPr>
              <w:br/>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omawia sytuację prawną mniejszości narodowych w Polsce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realizację reform gospodarczych przez rząd Władysława Grabskiego</w:t>
            </w: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ocenia politykę </w:t>
            </w:r>
            <w:r w:rsidRPr="00F24910">
              <w:rPr>
                <w:rFonts w:ascii="Times New Roman" w:hAnsi="Times New Roman" w:cs="Times New Roman"/>
                <w:sz w:val="20"/>
                <w:szCs w:val="20"/>
                <w:lang w:val="pl-PL"/>
              </w:rPr>
              <w:br/>
              <w:t>II Rzeczypospolitej wobec mniejszości narodowych</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ocenia skuteczność reform gospodarczych podejmowanych </w:t>
            </w:r>
            <w:r w:rsidRPr="00F24910">
              <w:rPr>
                <w:rFonts w:ascii="Times New Roman" w:hAnsi="Times New Roman" w:cs="Times New Roman"/>
                <w:sz w:val="20"/>
                <w:szCs w:val="20"/>
                <w:lang w:val="pl-PL"/>
              </w:rPr>
              <w:br/>
              <w:t>w II Rzeczypospolitej</w:t>
            </w:r>
          </w:p>
          <w:p w:rsidR="00F24910" w:rsidRPr="00F24910" w:rsidRDefault="00F24910" w:rsidP="00F24910">
            <w:pPr>
              <w:rPr>
                <w:rFonts w:ascii="Times New Roman" w:hAnsi="Times New Roman" w:cs="Times New Roman"/>
                <w:sz w:val="20"/>
                <w:szCs w:val="20"/>
                <w:lang w:val="pl-PL"/>
              </w:rPr>
            </w:pP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Kultura i nauka w II Rzeczypospolitej</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Początki oświaty </w:t>
            </w:r>
            <w:r w:rsidRPr="00F24910">
              <w:rPr>
                <w:rFonts w:ascii="Times New Roman" w:hAnsi="Times New Roman" w:cs="Times New Roman"/>
                <w:iCs/>
                <w:sz w:val="20"/>
                <w:szCs w:val="20"/>
                <w:lang w:val="pl-PL"/>
              </w:rPr>
              <w:br/>
              <w:t>w II Rzeczypospolitej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Reformy szkolnictwa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Nauka polska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Literatura okresu międzywojennego</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Sztuka i architektura w II Rzeczypospolitej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Kino i radio </w:t>
            </w:r>
            <w:r w:rsidRPr="00F24910">
              <w:rPr>
                <w:rFonts w:ascii="Times New Roman" w:hAnsi="Times New Roman" w:cs="Times New Roman"/>
                <w:iCs/>
                <w:sz w:val="20"/>
                <w:szCs w:val="20"/>
                <w:lang w:val="pl-PL"/>
              </w:rPr>
              <w:br/>
              <w:t>w międzywojennej Polsce</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Sport </w:t>
            </w:r>
            <w:r w:rsidRPr="00F24910">
              <w:rPr>
                <w:rFonts w:ascii="Times New Roman" w:hAnsi="Times New Roman" w:cs="Times New Roman"/>
                <w:iCs/>
                <w:sz w:val="20"/>
                <w:szCs w:val="20"/>
                <w:lang w:val="pl-PL"/>
              </w:rPr>
              <w:br/>
              <w:t>w II Rzeczypospolitej</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reformę edukacji Janusza Jędrzejewicza (1932)</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Janusza Jędrzejewicza, Stefana Żeromskiego, Władysława Reymonta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reformy szkolnictwa przeprowadzone w II Rzeczypospolitej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dziedziny naukowe, w których polscy uczeni zyskali uznanie w latach 20. i 30.</w:t>
            </w: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reformę edukacji Stanisława Grabskiego (1924)</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Stanisława Grabskiego, Stefana Banacha, Zofii Nałkowskiej, Witolda Gombrowicza, Brunona Schulza, Stanisława Ignacego Witkiewicz – Witkacego, Czesława Miłosza, Juliana Tuwima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osiągnięcia polskiej literatury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wymienia nurty, jakie dominowały w polskim malarstwie </w:t>
            </w:r>
            <w:r w:rsidRPr="00F24910">
              <w:rPr>
                <w:rFonts w:ascii="Times New Roman" w:hAnsi="Times New Roman" w:cs="Times New Roman"/>
                <w:sz w:val="20"/>
                <w:szCs w:val="20"/>
                <w:lang w:val="pl-PL"/>
              </w:rPr>
              <w:lastRenderedPageBreak/>
              <w:t>dwudziestolecia międzywojennego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najważniejszych twórców polskiej literatury w okresie międzywojennym</w:t>
            </w: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lokalizuje w czasie Nagrodę Nobla dla Władysława Reymonta (1924)</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identyfikuje postacie Ludwika Hirszfelda, Marii Dąbrowskiej, Tadeusza Dołęgi-Mostowicza, Tadeusza Boya-Żeleńskiego, Antoniego Słonimskiego, Jana Lechonia, Konstantego Ildefonsa Gałczyńskiego, Karola Szymanowskiego, Jana Kiepury, </w:t>
            </w:r>
            <w:proofErr w:type="spellStart"/>
            <w:r w:rsidRPr="00F24910">
              <w:rPr>
                <w:rFonts w:ascii="Times New Roman" w:hAnsi="Times New Roman" w:cs="Times New Roman"/>
                <w:sz w:val="20"/>
                <w:szCs w:val="20"/>
                <w:lang w:val="pl-PL"/>
              </w:rPr>
              <w:t>Poli</w:t>
            </w:r>
            <w:proofErr w:type="spellEnd"/>
            <w:r w:rsidRPr="00F24910">
              <w:rPr>
                <w:rFonts w:ascii="Times New Roman" w:hAnsi="Times New Roman" w:cs="Times New Roman"/>
                <w:sz w:val="20"/>
                <w:szCs w:val="20"/>
                <w:lang w:val="pl-PL"/>
              </w:rPr>
              <w:t xml:space="preserve"> Negri, Janusza Kusocińskiego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problemy polskiej oświaty w </w:t>
            </w:r>
            <w:r w:rsidRPr="00F24910">
              <w:rPr>
                <w:rFonts w:ascii="Times New Roman" w:hAnsi="Times New Roman" w:cs="Times New Roman"/>
                <w:sz w:val="20"/>
                <w:szCs w:val="20"/>
                <w:lang w:val="pl-PL"/>
              </w:rPr>
              <w:lastRenderedPageBreak/>
              <w:t>początkach niepodległości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osiągnięcia nauki polskiej w okresie międzywojennym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sztukę i architekturę w II Rzeczypospolitej</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identyfikuje postacie Hugona Steinhausa, Mariana Rejewskiego, Henryka Zygalskiego, Jerzego Różyckiego, Stanisława Wigury, Franciszka Żwirki, Zofii Kossak-Szczuckiej, Juliusza Kadena-Bandrowskiego, Sergiusza Piaseckiego, Kazimierza Wierzyńskiego, Jarosława Iwaszkiewicza, Tadeusza Peipera, Jerzego Lieberta, Karola Rostworowskiego, Juliusza Osterwy, Leona Schillera, Haliny Konopackiej, Jadwigi </w:t>
            </w:r>
            <w:r w:rsidRPr="00F24910">
              <w:rPr>
                <w:rFonts w:ascii="Times New Roman" w:hAnsi="Times New Roman" w:cs="Times New Roman"/>
                <w:sz w:val="20"/>
                <w:szCs w:val="20"/>
                <w:lang w:val="pl-PL"/>
              </w:rPr>
              <w:lastRenderedPageBreak/>
              <w:t xml:space="preserve">Jędrzejowskiej, Stanisława Marusarza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rozwój teatru i muzyki w okresie międzywojennym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przedstawia rozwój kina i radia w międzywojennej Polsce - omawia sukcesy polskich sportowców w okresie międzywojennym</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dorobek kulturalny i naukowy II Rzeczypospolitej</w:t>
            </w:r>
          </w:p>
          <w:p w:rsidR="00F24910" w:rsidRPr="00F24910" w:rsidRDefault="00F24910" w:rsidP="00F24910">
            <w:pPr>
              <w:rPr>
                <w:rFonts w:ascii="Times New Roman" w:hAnsi="Times New Roman" w:cs="Times New Roman"/>
                <w:sz w:val="20"/>
                <w:szCs w:val="20"/>
                <w:lang w:val="pl-PL"/>
              </w:rPr>
            </w:pPr>
          </w:p>
        </w:tc>
      </w:tr>
      <w:tr w:rsidR="00F24910" w:rsidRPr="001D2EE5" w:rsidTr="00E1793C">
        <w:trPr>
          <w:trHeight w:val="552"/>
        </w:trPr>
        <w:tc>
          <w:tcPr>
            <w:tcW w:w="1687" w:type="dxa"/>
            <w:tcBorders>
              <w:top w:val="single" w:sz="4" w:space="0" w:color="auto"/>
              <w:left w:val="single" w:sz="4" w:space="0" w:color="auto"/>
              <w:bottom w:val="single" w:sz="4" w:space="0" w:color="auto"/>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Polityka zagraniczna II Rzeczypospolitej</w:t>
            </w:r>
          </w:p>
        </w:tc>
        <w:tc>
          <w:tcPr>
            <w:tcW w:w="2269" w:type="dxa"/>
            <w:tcBorders>
              <w:top w:val="single" w:sz="4" w:space="0" w:color="auto"/>
              <w:left w:val="single" w:sz="4" w:space="0" w:color="auto"/>
              <w:bottom w:val="single" w:sz="4" w:space="0" w:color="auto"/>
              <w:right w:val="single" w:sz="4" w:space="0" w:color="auto"/>
            </w:tcBorders>
          </w:tcPr>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Polska na arenie międzynarodowej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 xml:space="preserve">Polityka międzynarodowa  </w:t>
            </w:r>
            <w:r w:rsidRPr="00F24910">
              <w:rPr>
                <w:rFonts w:ascii="Times New Roman" w:hAnsi="Times New Roman" w:cs="Times New Roman"/>
                <w:iCs/>
                <w:sz w:val="20"/>
                <w:szCs w:val="20"/>
                <w:lang w:val="pl-PL"/>
              </w:rPr>
              <w:br/>
              <w:t>w okresie sanacji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Przyłączenie Zaolzia do Rzeczypospolitej</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Niemieckie żądania wobec Polski</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Zacieśnienie współpracy w Wielką Brytanią i Francją</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Aktywizacja polskiego społeczeństwa</w:t>
            </w:r>
          </w:p>
          <w:p w:rsidR="00F24910" w:rsidRPr="00F24910" w:rsidRDefault="00F24910" w:rsidP="00F24910">
            <w:pPr>
              <w:rPr>
                <w:rFonts w:ascii="Times New Roman" w:hAnsi="Times New Roman" w:cs="Times New Roman"/>
                <w:iCs/>
                <w:sz w:val="20"/>
                <w:szCs w:val="20"/>
                <w:lang w:val="pl-PL"/>
              </w:rPr>
            </w:pPr>
            <w:r w:rsidRPr="00F24910">
              <w:rPr>
                <w:rFonts w:ascii="Times New Roman" w:hAnsi="Times New Roman" w:cs="Times New Roman"/>
                <w:iCs/>
                <w:sz w:val="20"/>
                <w:szCs w:val="20"/>
                <w:lang w:val="pl-PL"/>
              </w:rPr>
              <w:t>Pakt Ribbentrop-Mołotow</w:t>
            </w:r>
          </w:p>
        </w:tc>
        <w:tc>
          <w:tcPr>
            <w:tcW w:w="2211" w:type="dxa"/>
            <w:tcBorders>
              <w:top w:val="single" w:sz="4" w:space="0" w:color="auto"/>
              <w:left w:val="single" w:sz="4" w:space="0" w:color="000000"/>
              <w:bottom w:val="single" w:sz="4" w:space="0" w:color="auto"/>
              <w:right w:val="single" w:sz="4" w:space="0" w:color="auto"/>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t>- stosuje pojęcie</w:t>
            </w:r>
            <w:r w:rsidRPr="00F24910">
              <w:rPr>
                <w:rFonts w:ascii="Times New Roman" w:hAnsi="Times New Roman" w:cs="Times New Roman"/>
                <w:i/>
                <w:sz w:val="20"/>
                <w:szCs w:val="20"/>
                <w:lang w:val="pl-PL"/>
              </w:rPr>
              <w:t xml:space="preserve"> polityka równej odległości (równowagi)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układ o nieagresji między Polską i ZSRS (1932), układ o niestosowaniu przemocy między Polską a Niemcami (1934), przemówienie J. Becka w sejmie (V 1939), pakt Ribbentrop–Mołotow (23 VIII 1939)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postać Józefa Becka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żądania wobec Polski wysuwane przez III Rzeszę w 1938 r.</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przedstawia postawę polskich władz wobec żądań III Rzeszy</w:t>
            </w:r>
          </w:p>
        </w:tc>
        <w:tc>
          <w:tcPr>
            <w:tcW w:w="2212" w:type="dxa"/>
            <w:tcBorders>
              <w:top w:val="single" w:sz="4" w:space="0" w:color="000000"/>
              <w:left w:val="single" w:sz="4" w:space="0" w:color="auto"/>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lokalizuje w czasie układy sojusznicze </w:t>
            </w:r>
            <w:r w:rsidRPr="00F24910">
              <w:rPr>
                <w:rFonts w:ascii="Times New Roman" w:hAnsi="Times New Roman" w:cs="Times New Roman"/>
                <w:sz w:val="20"/>
                <w:szCs w:val="20"/>
                <w:lang w:val="pl-PL"/>
              </w:rPr>
              <w:br/>
              <w:t>z Francją i Rumunią (1921), przyłączenie Zaolzia do Polski (X 1938), polsko-brytyjski układ sojuszniczy (25 VIII 1939)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przestrzeni Zaolzie</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identyfikuje postacie Joachima von Ribbentropa, Wiaczesława Mołotowa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okoliczności przyłączenia Zaolzia do Polski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postawę polskiego społeczeństwa </w:t>
            </w:r>
            <w:r w:rsidRPr="00F24910">
              <w:rPr>
                <w:rFonts w:ascii="Times New Roman" w:hAnsi="Times New Roman" w:cs="Times New Roman"/>
                <w:sz w:val="20"/>
                <w:szCs w:val="20"/>
                <w:lang w:val="pl-PL"/>
              </w:rPr>
              <w:lastRenderedPageBreak/>
              <w:t>w obliczu zbliżającej się wojny</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wymienia postanowienia paktu Ribbentrop-Mołotow</w:t>
            </w:r>
          </w:p>
          <w:p w:rsidR="00F24910" w:rsidRPr="00F24910" w:rsidRDefault="00F24910" w:rsidP="00F24910">
            <w:pPr>
              <w:rPr>
                <w:rFonts w:ascii="Times New Roman" w:hAnsi="Times New Roman" w:cs="Times New Roman"/>
                <w:sz w:val="20"/>
                <w:szCs w:val="20"/>
                <w:lang w:val="pl-PL"/>
              </w:rPr>
            </w:pPr>
          </w:p>
        </w:tc>
        <w:tc>
          <w:tcPr>
            <w:tcW w:w="2211"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i/>
                <w:sz w:val="20"/>
                <w:szCs w:val="20"/>
                <w:lang w:val="pl-PL"/>
              </w:rPr>
            </w:pPr>
            <w:r w:rsidRPr="00F24910">
              <w:rPr>
                <w:rFonts w:ascii="Times New Roman" w:hAnsi="Times New Roman" w:cs="Times New Roman"/>
                <w:sz w:val="20"/>
                <w:szCs w:val="20"/>
                <w:lang w:val="pl-PL"/>
              </w:rPr>
              <w:lastRenderedPageBreak/>
              <w:t xml:space="preserve">- stosuje pojęcia </w:t>
            </w:r>
            <w:r w:rsidRPr="00F24910">
              <w:rPr>
                <w:rFonts w:ascii="Times New Roman" w:hAnsi="Times New Roman" w:cs="Times New Roman"/>
                <w:i/>
                <w:sz w:val="20"/>
                <w:szCs w:val="20"/>
                <w:lang w:val="pl-PL"/>
              </w:rPr>
              <w:t>Międzymorze, polityka prometejska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lokalizuje w czasie podpisanie konkordatu (1925), traktat w Locarno (1925), udzielenie gwarancji Polsce przez Wielka Brytanię (III 1939)</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jaki wpływ na międzynarodową pozycję Polski miał traktat w Locarno</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jaką rolę </w:t>
            </w:r>
            <w:r w:rsidRPr="00F24910">
              <w:rPr>
                <w:rFonts w:ascii="Times New Roman" w:hAnsi="Times New Roman" w:cs="Times New Roman"/>
                <w:sz w:val="20"/>
                <w:szCs w:val="20"/>
                <w:lang w:val="pl-PL"/>
              </w:rPr>
              <w:br/>
              <w:t>w polskiej polityce zagranicznej miał odgrywać sojusz z Francją i Rumunią</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przedstawia, na czym miała polegać idea Międzymorza i polityka prometejska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omawia proces zacieśniania współpracy Polski z Wielką Brytanią i Francją w przededniu wybuchu II wojny światowej</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na czym polegała  polityka równowagi i omawia sposób jej realizacji</w:t>
            </w:r>
          </w:p>
          <w:p w:rsidR="00F24910" w:rsidRPr="00F24910" w:rsidRDefault="00F24910" w:rsidP="00F24910">
            <w:pPr>
              <w:rPr>
                <w:rFonts w:ascii="Times New Roman" w:hAnsi="Times New Roman" w:cs="Times New Roman"/>
                <w:sz w:val="20"/>
                <w:szCs w:val="20"/>
                <w:lang w:val="pl-PL"/>
              </w:rPr>
            </w:pPr>
          </w:p>
        </w:tc>
        <w:tc>
          <w:tcPr>
            <w:tcW w:w="2212" w:type="dxa"/>
            <w:tcBorders>
              <w:top w:val="single" w:sz="4" w:space="0" w:color="000000"/>
              <w:left w:val="single" w:sz="4" w:space="0" w:color="000000"/>
              <w:bottom w:val="single" w:sz="4" w:space="0" w:color="000000"/>
              <w:right w:val="nil"/>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xml:space="preserve">- identyfikuje postacie Józefa Lipskiego, </w:t>
            </w:r>
            <w:proofErr w:type="spellStart"/>
            <w:r w:rsidRPr="00F24910">
              <w:rPr>
                <w:rFonts w:ascii="Times New Roman" w:hAnsi="Times New Roman" w:cs="Times New Roman"/>
                <w:sz w:val="20"/>
                <w:szCs w:val="20"/>
                <w:lang w:val="pl-PL"/>
              </w:rPr>
              <w:t>Neville’a</w:t>
            </w:r>
            <w:proofErr w:type="spellEnd"/>
            <w:r w:rsidRPr="00F24910">
              <w:rPr>
                <w:rFonts w:ascii="Times New Roman" w:hAnsi="Times New Roman" w:cs="Times New Roman"/>
                <w:sz w:val="20"/>
                <w:szCs w:val="20"/>
                <w:lang w:val="pl-PL"/>
              </w:rPr>
              <w:t xml:space="preserve"> Chamberlaina</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charakteryzuje położenie międzynarodowe II Rzeczypospolitej w latach 20. XX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wyjaśnia, dlaczego idea Międzymorza i polityka prometejska poniosły fiasko </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wyjaśnia, jak władze Wolnego Miasta Gdańska odebrały niemieckie żądania wobec Polski</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xml:space="preserve">- omawia skutki polskiej polityki zagranicznej </w:t>
            </w:r>
            <w:r w:rsidRPr="00F24910">
              <w:rPr>
                <w:rFonts w:ascii="Times New Roman" w:hAnsi="Times New Roman" w:cs="Times New Roman"/>
                <w:sz w:val="20"/>
                <w:szCs w:val="20"/>
                <w:lang w:val="pl-PL"/>
              </w:rPr>
              <w:lastRenderedPageBreak/>
              <w:t>prowadzonej w okresie sanacji</w:t>
            </w:r>
          </w:p>
        </w:tc>
        <w:tc>
          <w:tcPr>
            <w:tcW w:w="2212" w:type="dxa"/>
            <w:tcBorders>
              <w:top w:val="single" w:sz="4" w:space="0" w:color="000000"/>
              <w:left w:val="single" w:sz="4" w:space="0" w:color="000000"/>
              <w:bottom w:val="single" w:sz="4" w:space="0" w:color="000000"/>
              <w:right w:val="single" w:sz="4" w:space="0" w:color="000000"/>
            </w:tcBorders>
          </w:tcPr>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lastRenderedPageBreak/>
              <w:t>- ocenia międzynarodową pozycję Polski w okresie międzywojennym</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sposób rozwiązania problemu Zaolzia w latach 30. XX w.</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postawę władz polskich wobec żądań wysuwanych przez III Rzeszę w 1938 r.</w:t>
            </w:r>
          </w:p>
          <w:p w:rsidR="00F24910" w:rsidRPr="00F24910" w:rsidRDefault="00F24910" w:rsidP="00F24910">
            <w:pPr>
              <w:rPr>
                <w:rFonts w:ascii="Times New Roman" w:hAnsi="Times New Roman" w:cs="Times New Roman"/>
                <w:sz w:val="20"/>
                <w:szCs w:val="20"/>
                <w:lang w:val="pl-PL"/>
              </w:rPr>
            </w:pPr>
            <w:r w:rsidRPr="00F24910">
              <w:rPr>
                <w:rFonts w:ascii="Times New Roman" w:hAnsi="Times New Roman" w:cs="Times New Roman"/>
                <w:sz w:val="20"/>
                <w:szCs w:val="20"/>
                <w:lang w:val="pl-PL"/>
              </w:rPr>
              <w:t>- ocenia postawę polskiego społeczeństwa w obliczu zbliżającej się wojny</w:t>
            </w:r>
          </w:p>
        </w:tc>
      </w:tr>
    </w:tbl>
    <w:p w:rsidR="00F24910" w:rsidRPr="00F24910" w:rsidRDefault="00F24910" w:rsidP="00F24910">
      <w:pPr>
        <w:rPr>
          <w:rFonts w:ascii="Times New Roman" w:hAnsi="Times New Roman" w:cs="Times New Roman"/>
          <w:sz w:val="20"/>
          <w:szCs w:val="20"/>
          <w:lang w:val="pl-PL"/>
        </w:rPr>
      </w:pPr>
    </w:p>
    <w:p w:rsidR="00F24910" w:rsidRPr="00F24910" w:rsidRDefault="00F24910" w:rsidP="00F24910">
      <w:pPr>
        <w:rPr>
          <w:rFonts w:ascii="Times New Roman" w:hAnsi="Times New Roman" w:cs="Times New Roman"/>
          <w:sz w:val="20"/>
          <w:szCs w:val="20"/>
          <w:lang w:val="pl-PL"/>
        </w:rPr>
      </w:pPr>
    </w:p>
    <w:p w:rsidR="007F46EE" w:rsidRPr="00F24910" w:rsidRDefault="007F46EE">
      <w:pPr>
        <w:rPr>
          <w:rFonts w:ascii="Times New Roman" w:hAnsi="Times New Roman" w:cs="Times New Roman"/>
          <w:sz w:val="20"/>
          <w:szCs w:val="20"/>
          <w:lang w:val="pl-PL"/>
        </w:rPr>
      </w:pPr>
    </w:p>
    <w:sectPr w:rsidR="007F46EE" w:rsidRPr="00F24910" w:rsidSect="00EA49F4">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2D" w:rsidRDefault="00FB132D">
      <w:pPr>
        <w:spacing w:after="0" w:line="240" w:lineRule="auto"/>
      </w:pPr>
      <w:r>
        <w:separator/>
      </w:r>
    </w:p>
  </w:endnote>
  <w:endnote w:type="continuationSeparator" w:id="0">
    <w:p w:rsidR="00FB132D" w:rsidRDefault="00FB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EU">
    <w:altName w:val="Arial"/>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Roboto">
    <w:altName w:val="Times New Roman"/>
    <w:charset w:val="EE"/>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759213"/>
      <w:docPartObj>
        <w:docPartGallery w:val="Page Numbers (Bottom of Page)"/>
        <w:docPartUnique/>
      </w:docPartObj>
    </w:sdtPr>
    <w:sdtEndPr/>
    <w:sdtContent>
      <w:p w:rsidR="00DA1714" w:rsidRDefault="008C797A">
        <w:pPr>
          <w:pStyle w:val="Stopka"/>
          <w:jc w:val="right"/>
        </w:pPr>
        <w:r>
          <w:rPr>
            <w:noProof/>
          </w:rPr>
          <w:fldChar w:fldCharType="begin"/>
        </w:r>
        <w:r>
          <w:rPr>
            <w:noProof/>
          </w:rPr>
          <w:instrText>PAGE   \* MERGEFORMAT</w:instrText>
        </w:r>
        <w:r>
          <w:rPr>
            <w:noProof/>
          </w:rPr>
          <w:fldChar w:fldCharType="separate"/>
        </w:r>
        <w:r w:rsidR="001D2EE5">
          <w:rPr>
            <w:noProof/>
          </w:rPr>
          <w:t>2</w:t>
        </w:r>
        <w:r>
          <w:rPr>
            <w:noProof/>
          </w:rPr>
          <w:fldChar w:fldCharType="end"/>
        </w:r>
      </w:p>
    </w:sdtContent>
  </w:sdt>
  <w:p w:rsidR="00DA1714" w:rsidRPr="00F20F8E" w:rsidRDefault="008C797A" w:rsidP="0018068A">
    <w:pPr>
      <w:pStyle w:val="StopkaCopyright"/>
    </w:pPr>
    <w:r w:rsidRPr="00F20F8E">
      <w:t>© Copyright by Nowa Era Sp. z o.o.</w:t>
    </w:r>
  </w:p>
  <w:p w:rsidR="00DA1714" w:rsidRDefault="00FB13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2D" w:rsidRDefault="00FB132D">
      <w:pPr>
        <w:spacing w:after="0" w:line="240" w:lineRule="auto"/>
      </w:pPr>
      <w:r>
        <w:separator/>
      </w:r>
    </w:p>
  </w:footnote>
  <w:footnote w:type="continuationSeparator" w:id="0">
    <w:p w:rsidR="00FB132D" w:rsidRDefault="00FB1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A4D"/>
    <w:multiLevelType w:val="hybridMultilevel"/>
    <w:tmpl w:val="8E3ABD76"/>
    <w:lvl w:ilvl="0" w:tplc="A31E35F8">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B7AF4"/>
    <w:multiLevelType w:val="hybridMultilevel"/>
    <w:tmpl w:val="6A42E632"/>
    <w:lvl w:ilvl="0" w:tplc="22961856">
      <w:start w:val="1"/>
      <w:numFmt w:val="bullet"/>
      <w:lvlText w:val=""/>
      <w:lvlJc w:val="left"/>
      <w:pPr>
        <w:tabs>
          <w:tab w:val="num" w:pos="170"/>
        </w:tabs>
        <w:ind w:left="170" w:hanging="17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A12F4"/>
    <w:multiLevelType w:val="hybridMultilevel"/>
    <w:tmpl w:val="AECE8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7096D"/>
    <w:multiLevelType w:val="hybridMultilevel"/>
    <w:tmpl w:val="2D7C503A"/>
    <w:lvl w:ilvl="0" w:tplc="0D10A24E">
      <w:start w:val="1"/>
      <w:numFmt w:val="decimal"/>
      <w:lvlText w:val="%1."/>
      <w:lvlJc w:val="left"/>
      <w:pPr>
        <w:tabs>
          <w:tab w:val="num" w:pos="170"/>
        </w:tabs>
        <w:ind w:left="170" w:hanging="170"/>
      </w:pPr>
      <w:rPr>
        <w:rFonts w:hint="default"/>
      </w:rPr>
    </w:lvl>
    <w:lvl w:ilvl="1" w:tplc="04150001">
      <w:start w:val="1"/>
      <w:numFmt w:val="bullet"/>
      <w:lvlText w:val=""/>
      <w:lvlJc w:val="left"/>
      <w:pPr>
        <w:tabs>
          <w:tab w:val="num" w:pos="170"/>
        </w:tabs>
        <w:ind w:left="170" w:hanging="17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730EE9"/>
    <w:multiLevelType w:val="hybridMultilevel"/>
    <w:tmpl w:val="5D4CBF14"/>
    <w:lvl w:ilvl="0" w:tplc="A31E35F8">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04263"/>
    <w:multiLevelType w:val="hybridMultilevel"/>
    <w:tmpl w:val="1E48254C"/>
    <w:lvl w:ilvl="0" w:tplc="9CA60D86">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4A5B64"/>
    <w:multiLevelType w:val="hybridMultilevel"/>
    <w:tmpl w:val="CC709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D03FAF"/>
    <w:multiLevelType w:val="hybridMultilevel"/>
    <w:tmpl w:val="9782D646"/>
    <w:lvl w:ilvl="0" w:tplc="407A0432">
      <w:start w:val="1"/>
      <w:numFmt w:val="decimal"/>
      <w:lvlText w:val="%1."/>
      <w:lvlJc w:val="left"/>
      <w:pPr>
        <w:tabs>
          <w:tab w:val="num" w:pos="170"/>
        </w:tabs>
        <w:ind w:left="170" w:hanging="170"/>
      </w:pPr>
      <w:rPr>
        <w:rFonts w:hint="default"/>
      </w:rPr>
    </w:lvl>
    <w:lvl w:ilvl="1" w:tplc="22961856">
      <w:start w:val="1"/>
      <w:numFmt w:val="bullet"/>
      <w:lvlText w:val=""/>
      <w:lvlJc w:val="left"/>
      <w:pPr>
        <w:tabs>
          <w:tab w:val="num" w:pos="170"/>
        </w:tabs>
        <w:ind w:left="170" w:hanging="170"/>
      </w:pPr>
      <w:rPr>
        <w:rFonts w:ascii="Symbol" w:hAnsi="Symbol" w:hint="default"/>
      </w:rPr>
    </w:lvl>
    <w:lvl w:ilvl="2" w:tplc="F3A47020">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187351F"/>
    <w:multiLevelType w:val="hybridMultilevel"/>
    <w:tmpl w:val="1D687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CA4F7C"/>
    <w:multiLevelType w:val="hybridMultilevel"/>
    <w:tmpl w:val="10A4ACCA"/>
    <w:lvl w:ilvl="0" w:tplc="42226710">
      <w:start w:val="1"/>
      <w:numFmt w:val="bullet"/>
      <w:pStyle w:val="Tabelaszerokalistapunktowana"/>
      <w:lvlText w:val="•"/>
      <w:lvlJc w:val="left"/>
      <w:pPr>
        <w:ind w:left="360" w:hanging="360"/>
      </w:pPr>
      <w:rPr>
        <w:rFonts w:ascii="Cambria" w:hAnsi="Cambria" w:hint="default"/>
      </w:rPr>
    </w:lvl>
    <w:lvl w:ilvl="1" w:tplc="04150003" w:tentative="1">
      <w:start w:val="1"/>
      <w:numFmt w:val="bullet"/>
      <w:lvlText w:val="o"/>
      <w:lvlJc w:val="left"/>
      <w:pPr>
        <w:ind w:left="1043" w:hanging="360"/>
      </w:pPr>
      <w:rPr>
        <w:rFonts w:ascii="Courier New" w:hAnsi="Courier New" w:cs="Courier New" w:hint="default"/>
      </w:rPr>
    </w:lvl>
    <w:lvl w:ilvl="2" w:tplc="04150005" w:tentative="1">
      <w:start w:val="1"/>
      <w:numFmt w:val="bullet"/>
      <w:lvlText w:val=""/>
      <w:lvlJc w:val="left"/>
      <w:pPr>
        <w:ind w:left="1763" w:hanging="360"/>
      </w:pPr>
      <w:rPr>
        <w:rFonts w:ascii="Wingdings" w:hAnsi="Wingdings" w:hint="default"/>
      </w:rPr>
    </w:lvl>
    <w:lvl w:ilvl="3" w:tplc="04150001" w:tentative="1">
      <w:start w:val="1"/>
      <w:numFmt w:val="bullet"/>
      <w:lvlText w:val=""/>
      <w:lvlJc w:val="left"/>
      <w:pPr>
        <w:ind w:left="2483" w:hanging="360"/>
      </w:pPr>
      <w:rPr>
        <w:rFonts w:ascii="Symbol" w:hAnsi="Symbol" w:hint="default"/>
      </w:rPr>
    </w:lvl>
    <w:lvl w:ilvl="4" w:tplc="04150003" w:tentative="1">
      <w:start w:val="1"/>
      <w:numFmt w:val="bullet"/>
      <w:lvlText w:val="o"/>
      <w:lvlJc w:val="left"/>
      <w:pPr>
        <w:ind w:left="3203" w:hanging="360"/>
      </w:pPr>
      <w:rPr>
        <w:rFonts w:ascii="Courier New" w:hAnsi="Courier New" w:cs="Courier New" w:hint="default"/>
      </w:rPr>
    </w:lvl>
    <w:lvl w:ilvl="5" w:tplc="04150005" w:tentative="1">
      <w:start w:val="1"/>
      <w:numFmt w:val="bullet"/>
      <w:lvlText w:val=""/>
      <w:lvlJc w:val="left"/>
      <w:pPr>
        <w:ind w:left="3923" w:hanging="360"/>
      </w:pPr>
      <w:rPr>
        <w:rFonts w:ascii="Wingdings" w:hAnsi="Wingdings" w:hint="default"/>
      </w:rPr>
    </w:lvl>
    <w:lvl w:ilvl="6" w:tplc="04150001" w:tentative="1">
      <w:start w:val="1"/>
      <w:numFmt w:val="bullet"/>
      <w:lvlText w:val=""/>
      <w:lvlJc w:val="left"/>
      <w:pPr>
        <w:ind w:left="4643" w:hanging="360"/>
      </w:pPr>
      <w:rPr>
        <w:rFonts w:ascii="Symbol" w:hAnsi="Symbol" w:hint="default"/>
      </w:rPr>
    </w:lvl>
    <w:lvl w:ilvl="7" w:tplc="04150003" w:tentative="1">
      <w:start w:val="1"/>
      <w:numFmt w:val="bullet"/>
      <w:lvlText w:val="o"/>
      <w:lvlJc w:val="left"/>
      <w:pPr>
        <w:ind w:left="5363" w:hanging="360"/>
      </w:pPr>
      <w:rPr>
        <w:rFonts w:ascii="Courier New" w:hAnsi="Courier New" w:cs="Courier New" w:hint="default"/>
      </w:rPr>
    </w:lvl>
    <w:lvl w:ilvl="8" w:tplc="04150005" w:tentative="1">
      <w:start w:val="1"/>
      <w:numFmt w:val="bullet"/>
      <w:lvlText w:val=""/>
      <w:lvlJc w:val="left"/>
      <w:pPr>
        <w:ind w:left="6083" w:hanging="360"/>
      </w:pPr>
      <w:rPr>
        <w:rFonts w:ascii="Wingdings" w:hAnsi="Wingdings" w:hint="default"/>
      </w:rPr>
    </w:lvl>
  </w:abstractNum>
  <w:abstractNum w:abstractNumId="10" w15:restartNumberingAfterBreak="0">
    <w:nsid w:val="45D361C9"/>
    <w:multiLevelType w:val="hybridMultilevel"/>
    <w:tmpl w:val="661A842A"/>
    <w:lvl w:ilvl="0" w:tplc="61AEDA5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834069"/>
    <w:multiLevelType w:val="hybridMultilevel"/>
    <w:tmpl w:val="3BC4466C"/>
    <w:lvl w:ilvl="0" w:tplc="08D8AB46">
      <w:start w:val="1"/>
      <w:numFmt w:val="decimal"/>
      <w:lvlText w:val="%1."/>
      <w:lvlJc w:val="left"/>
      <w:pPr>
        <w:tabs>
          <w:tab w:val="num" w:pos="170"/>
        </w:tabs>
        <w:ind w:left="170" w:hanging="170"/>
      </w:pPr>
      <w:rPr>
        <w:rFonts w:hint="default"/>
      </w:rPr>
    </w:lvl>
    <w:lvl w:ilvl="1" w:tplc="5C4C4ACE">
      <w:start w:val="1"/>
      <w:numFmt w:val="bullet"/>
      <w:lvlText w:val=""/>
      <w:lvlJc w:val="left"/>
      <w:pPr>
        <w:tabs>
          <w:tab w:val="num" w:pos="170"/>
        </w:tabs>
        <w:ind w:left="170" w:hanging="17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7F35EFF"/>
    <w:multiLevelType w:val="hybridMultilevel"/>
    <w:tmpl w:val="D6FC064E"/>
    <w:lvl w:ilvl="0" w:tplc="5C4C4ACE">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9A6F53"/>
    <w:multiLevelType w:val="hybridMultilevel"/>
    <w:tmpl w:val="2C565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75538B"/>
    <w:multiLevelType w:val="hybridMultilevel"/>
    <w:tmpl w:val="6764C2CC"/>
    <w:lvl w:ilvl="0" w:tplc="5C4C4ACE">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0347D5"/>
    <w:multiLevelType w:val="hybridMultilevel"/>
    <w:tmpl w:val="EDD22810"/>
    <w:lvl w:ilvl="0" w:tplc="8E888724">
      <w:start w:val="3"/>
      <w:numFmt w:val="decimal"/>
      <w:lvlText w:val="%1."/>
      <w:lvlJc w:val="left"/>
      <w:pPr>
        <w:tabs>
          <w:tab w:val="num" w:pos="170"/>
        </w:tabs>
        <w:ind w:left="170" w:hanging="170"/>
      </w:pPr>
      <w:rPr>
        <w:rFonts w:hint="default"/>
      </w:rPr>
    </w:lvl>
    <w:lvl w:ilvl="1" w:tplc="CDA27334">
      <w:start w:val="3"/>
      <w:numFmt w:val="bullet"/>
      <w:lvlText w:val=""/>
      <w:lvlJc w:val="left"/>
      <w:pPr>
        <w:tabs>
          <w:tab w:val="num" w:pos="170"/>
        </w:tabs>
        <w:ind w:left="170" w:hanging="17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4703859"/>
    <w:multiLevelType w:val="hybridMultilevel"/>
    <w:tmpl w:val="3FEC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7D2111B"/>
    <w:multiLevelType w:val="hybridMultilevel"/>
    <w:tmpl w:val="4CB8B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15"/>
  </w:num>
  <w:num w:numId="4">
    <w:abstractNumId w:val="0"/>
  </w:num>
  <w:num w:numId="5">
    <w:abstractNumId w:val="4"/>
  </w:num>
  <w:num w:numId="6">
    <w:abstractNumId w:val="3"/>
  </w:num>
  <w:num w:numId="7">
    <w:abstractNumId w:val="11"/>
  </w:num>
  <w:num w:numId="8">
    <w:abstractNumId w:val="12"/>
  </w:num>
  <w:num w:numId="9">
    <w:abstractNumId w:val="14"/>
  </w:num>
  <w:num w:numId="10">
    <w:abstractNumId w:val="10"/>
  </w:num>
  <w:num w:numId="11">
    <w:abstractNumId w:val="5"/>
  </w:num>
  <w:num w:numId="12">
    <w:abstractNumId w:val="17"/>
  </w:num>
  <w:num w:numId="13">
    <w:abstractNumId w:val="8"/>
  </w:num>
  <w:num w:numId="14">
    <w:abstractNumId w:val="2"/>
  </w:num>
  <w:num w:numId="15">
    <w:abstractNumId w:val="6"/>
  </w:num>
  <w:num w:numId="16">
    <w:abstractNumId w:val="9"/>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22"/>
    <w:rsid w:val="001D2EE5"/>
    <w:rsid w:val="007F46EE"/>
    <w:rsid w:val="008C797A"/>
    <w:rsid w:val="00F24910"/>
    <w:rsid w:val="00FA2122"/>
    <w:rsid w:val="00FB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D79E7-7BD4-4721-A51B-081F9FC7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D2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F24910"/>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24910"/>
    <w:rPr>
      <w:rFonts w:ascii="Times New Roman" w:eastAsia="Times New Roman" w:hAnsi="Times New Roman" w:cs="Times New Roman"/>
      <w:b/>
      <w:bCs/>
      <w:sz w:val="36"/>
      <w:szCs w:val="36"/>
      <w:lang w:val="pl-PL" w:eastAsia="pl-PL"/>
    </w:rPr>
  </w:style>
  <w:style w:type="paragraph" w:styleId="Tekstdymka">
    <w:name w:val="Balloon Text"/>
    <w:basedOn w:val="Normalny"/>
    <w:link w:val="TekstdymkaZnak"/>
    <w:uiPriority w:val="99"/>
    <w:semiHidden/>
    <w:unhideWhenUsed/>
    <w:rsid w:val="00F24910"/>
    <w:pPr>
      <w:spacing w:after="0" w:line="240" w:lineRule="auto"/>
    </w:pPr>
    <w:rPr>
      <w:rFonts w:ascii="Segoe UI" w:hAnsi="Segoe UI" w:cs="Segoe UI"/>
      <w:sz w:val="18"/>
      <w:szCs w:val="18"/>
      <w:lang w:val="pl-PL"/>
    </w:rPr>
  </w:style>
  <w:style w:type="character" w:customStyle="1" w:styleId="TekstdymkaZnak">
    <w:name w:val="Tekst dymka Znak"/>
    <w:basedOn w:val="Domylnaczcionkaakapitu"/>
    <w:link w:val="Tekstdymka"/>
    <w:uiPriority w:val="99"/>
    <w:semiHidden/>
    <w:rsid w:val="00F24910"/>
    <w:rPr>
      <w:rFonts w:ascii="Segoe UI" w:hAnsi="Segoe UI" w:cs="Segoe UI"/>
      <w:sz w:val="18"/>
      <w:szCs w:val="18"/>
      <w:lang w:val="pl-PL"/>
    </w:rPr>
  </w:style>
  <w:style w:type="character" w:styleId="Odwoaniedokomentarza">
    <w:name w:val="annotation reference"/>
    <w:basedOn w:val="Domylnaczcionkaakapitu"/>
    <w:uiPriority w:val="99"/>
    <w:semiHidden/>
    <w:unhideWhenUsed/>
    <w:rsid w:val="00F24910"/>
    <w:rPr>
      <w:sz w:val="16"/>
      <w:szCs w:val="16"/>
    </w:rPr>
  </w:style>
  <w:style w:type="paragraph" w:styleId="Tekstkomentarza">
    <w:name w:val="annotation text"/>
    <w:basedOn w:val="Normalny"/>
    <w:link w:val="TekstkomentarzaZnak"/>
    <w:uiPriority w:val="99"/>
    <w:semiHidden/>
    <w:unhideWhenUsed/>
    <w:rsid w:val="00F24910"/>
    <w:pPr>
      <w:spacing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F24910"/>
    <w:rPr>
      <w:sz w:val="20"/>
      <w:szCs w:val="20"/>
      <w:lang w:val="pl-PL"/>
    </w:rPr>
  </w:style>
  <w:style w:type="paragraph" w:styleId="Tematkomentarza">
    <w:name w:val="annotation subject"/>
    <w:basedOn w:val="Tekstkomentarza"/>
    <w:next w:val="Tekstkomentarza"/>
    <w:link w:val="TematkomentarzaZnak"/>
    <w:uiPriority w:val="99"/>
    <w:semiHidden/>
    <w:unhideWhenUsed/>
    <w:rsid w:val="00F24910"/>
    <w:rPr>
      <w:b/>
      <w:bCs/>
    </w:rPr>
  </w:style>
  <w:style w:type="character" w:customStyle="1" w:styleId="TematkomentarzaZnak">
    <w:name w:val="Temat komentarza Znak"/>
    <w:basedOn w:val="TekstkomentarzaZnak"/>
    <w:link w:val="Tematkomentarza"/>
    <w:uiPriority w:val="99"/>
    <w:semiHidden/>
    <w:rsid w:val="00F24910"/>
    <w:rPr>
      <w:b/>
      <w:bCs/>
      <w:sz w:val="20"/>
      <w:szCs w:val="20"/>
      <w:lang w:val="pl-PL"/>
    </w:rPr>
  </w:style>
  <w:style w:type="paragraph" w:styleId="Poprawka">
    <w:name w:val="Revision"/>
    <w:hidden/>
    <w:uiPriority w:val="99"/>
    <w:semiHidden/>
    <w:rsid w:val="00F24910"/>
    <w:pPr>
      <w:spacing w:after="0" w:line="240" w:lineRule="auto"/>
    </w:pPr>
    <w:rPr>
      <w:lang w:val="pl-PL"/>
    </w:rPr>
  </w:style>
  <w:style w:type="paragraph" w:customStyle="1" w:styleId="Pa11">
    <w:name w:val="Pa11"/>
    <w:basedOn w:val="Normalny"/>
    <w:next w:val="Normalny"/>
    <w:uiPriority w:val="99"/>
    <w:rsid w:val="00F24910"/>
    <w:pPr>
      <w:autoSpaceDE w:val="0"/>
      <w:autoSpaceDN w:val="0"/>
      <w:adjustRightInd w:val="0"/>
      <w:spacing w:after="0" w:line="241" w:lineRule="atLeast"/>
    </w:pPr>
    <w:rPr>
      <w:rFonts w:ascii="Humanst521EU" w:hAnsi="Humanst521EU"/>
      <w:sz w:val="24"/>
      <w:szCs w:val="24"/>
      <w:lang w:val="pl-PL"/>
    </w:rPr>
  </w:style>
  <w:style w:type="character" w:customStyle="1" w:styleId="A13">
    <w:name w:val="A13"/>
    <w:uiPriority w:val="99"/>
    <w:rsid w:val="00F24910"/>
    <w:rPr>
      <w:rFonts w:cs="Humanst521EU"/>
      <w:color w:val="000000"/>
      <w:sz w:val="15"/>
      <w:szCs w:val="15"/>
    </w:rPr>
  </w:style>
  <w:style w:type="character" w:customStyle="1" w:styleId="A14">
    <w:name w:val="A14"/>
    <w:uiPriority w:val="99"/>
    <w:rsid w:val="00F24910"/>
    <w:rPr>
      <w:rFonts w:cs="Humanst521EU"/>
      <w:color w:val="000000"/>
      <w:sz w:val="15"/>
      <w:szCs w:val="15"/>
    </w:rPr>
  </w:style>
  <w:style w:type="paragraph" w:styleId="Nagwek">
    <w:name w:val="header"/>
    <w:basedOn w:val="Normalny"/>
    <w:link w:val="NagwekZnak"/>
    <w:uiPriority w:val="99"/>
    <w:unhideWhenUsed/>
    <w:rsid w:val="00F24910"/>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F24910"/>
    <w:rPr>
      <w:lang w:val="pl-PL"/>
    </w:rPr>
  </w:style>
  <w:style w:type="paragraph" w:styleId="Stopka">
    <w:name w:val="footer"/>
    <w:basedOn w:val="Normalny"/>
    <w:link w:val="StopkaZnak"/>
    <w:uiPriority w:val="99"/>
    <w:unhideWhenUsed/>
    <w:rsid w:val="00F24910"/>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F24910"/>
    <w:rPr>
      <w:lang w:val="pl-PL"/>
    </w:rPr>
  </w:style>
  <w:style w:type="paragraph" w:customStyle="1" w:styleId="Default">
    <w:name w:val="Default"/>
    <w:rsid w:val="00F24910"/>
    <w:pPr>
      <w:autoSpaceDE w:val="0"/>
      <w:autoSpaceDN w:val="0"/>
      <w:adjustRightInd w:val="0"/>
      <w:spacing w:after="0" w:line="240" w:lineRule="auto"/>
    </w:pPr>
    <w:rPr>
      <w:rFonts w:ascii="Times New Roman" w:eastAsia="Calibri" w:hAnsi="Times New Roman" w:cs="Times New Roman"/>
      <w:color w:val="000000"/>
      <w:sz w:val="24"/>
      <w:szCs w:val="24"/>
      <w:lang w:val="pl-PL" w:eastAsia="pl-PL"/>
    </w:rPr>
  </w:style>
  <w:style w:type="paragraph" w:styleId="Bezodstpw">
    <w:name w:val="No Spacing"/>
    <w:uiPriority w:val="1"/>
    <w:qFormat/>
    <w:rsid w:val="00F24910"/>
    <w:pPr>
      <w:widowControl w:val="0"/>
      <w:autoSpaceDE w:val="0"/>
      <w:autoSpaceDN w:val="0"/>
      <w:spacing w:after="0" w:line="240" w:lineRule="auto"/>
    </w:pPr>
    <w:rPr>
      <w:rFonts w:ascii="Times New Roman" w:eastAsia="Times New Roman" w:hAnsi="Times New Roman" w:cs="Times New Roman"/>
      <w:sz w:val="20"/>
      <w:szCs w:val="20"/>
      <w:lang w:val="pl-PL" w:eastAsia="pl-PL"/>
    </w:rPr>
  </w:style>
  <w:style w:type="paragraph" w:customStyle="1" w:styleId="Pa31">
    <w:name w:val="Pa31"/>
    <w:basedOn w:val="Default"/>
    <w:next w:val="Default"/>
    <w:uiPriority w:val="99"/>
    <w:rsid w:val="00F24910"/>
    <w:pPr>
      <w:spacing w:line="321" w:lineRule="atLeast"/>
    </w:pPr>
    <w:rPr>
      <w:rFonts w:ascii="Minion Pro" w:eastAsiaTheme="minorHAnsi" w:hAnsi="Minion Pro" w:cstheme="minorBidi"/>
      <w:color w:val="auto"/>
      <w:lang w:eastAsia="en-US"/>
    </w:rPr>
  </w:style>
  <w:style w:type="paragraph" w:styleId="Akapitzlist">
    <w:name w:val="List Paragraph"/>
    <w:basedOn w:val="Normalny"/>
    <w:uiPriority w:val="34"/>
    <w:qFormat/>
    <w:rsid w:val="00F24910"/>
    <w:pPr>
      <w:ind w:left="720"/>
      <w:contextualSpacing/>
    </w:pPr>
    <w:rPr>
      <w:lang w:val="pl-PL"/>
    </w:rPr>
  </w:style>
  <w:style w:type="character" w:styleId="Uwydatnienie">
    <w:name w:val="Emphasis"/>
    <w:basedOn w:val="Domylnaczcionkaakapitu"/>
    <w:uiPriority w:val="20"/>
    <w:qFormat/>
    <w:rsid w:val="00F24910"/>
    <w:rPr>
      <w:i/>
      <w:iCs/>
    </w:rPr>
  </w:style>
  <w:style w:type="paragraph" w:styleId="Tekstpodstawowy2">
    <w:name w:val="Body Text 2"/>
    <w:basedOn w:val="Normalny"/>
    <w:link w:val="Tekstpodstawowy2Znak"/>
    <w:semiHidden/>
    <w:rsid w:val="00F24910"/>
    <w:pPr>
      <w:spacing w:after="0" w:line="240" w:lineRule="auto"/>
    </w:pPr>
    <w:rPr>
      <w:rFonts w:ascii="Times New Roman" w:eastAsia="Times New Roman" w:hAnsi="Times New Roman" w:cs="Times New Roman"/>
      <w:sz w:val="28"/>
      <w:szCs w:val="24"/>
      <w:lang w:val="pl-PL" w:eastAsia="pl-PL"/>
    </w:rPr>
  </w:style>
  <w:style w:type="character" w:customStyle="1" w:styleId="Tekstpodstawowy2Znak">
    <w:name w:val="Tekst podstawowy 2 Znak"/>
    <w:basedOn w:val="Domylnaczcionkaakapitu"/>
    <w:link w:val="Tekstpodstawowy2"/>
    <w:semiHidden/>
    <w:rsid w:val="00F24910"/>
    <w:rPr>
      <w:rFonts w:ascii="Times New Roman" w:eastAsia="Times New Roman" w:hAnsi="Times New Roman" w:cs="Times New Roman"/>
      <w:sz w:val="28"/>
      <w:szCs w:val="24"/>
      <w:lang w:val="pl-PL" w:eastAsia="pl-PL"/>
    </w:rPr>
  </w:style>
  <w:style w:type="paragraph" w:styleId="Tekstpodstawowy">
    <w:name w:val="Body Text"/>
    <w:basedOn w:val="Normalny"/>
    <w:link w:val="TekstpodstawowyZnak"/>
    <w:uiPriority w:val="99"/>
    <w:semiHidden/>
    <w:unhideWhenUsed/>
    <w:rsid w:val="00F24910"/>
    <w:pPr>
      <w:spacing w:after="120"/>
    </w:pPr>
    <w:rPr>
      <w:lang w:val="pl-PL"/>
    </w:rPr>
  </w:style>
  <w:style w:type="character" w:customStyle="1" w:styleId="TekstpodstawowyZnak">
    <w:name w:val="Tekst podstawowy Znak"/>
    <w:basedOn w:val="Domylnaczcionkaakapitu"/>
    <w:link w:val="Tekstpodstawowy"/>
    <w:uiPriority w:val="99"/>
    <w:semiHidden/>
    <w:rsid w:val="00F24910"/>
    <w:rPr>
      <w:lang w:val="pl-PL"/>
    </w:rPr>
  </w:style>
  <w:style w:type="paragraph" w:customStyle="1" w:styleId="Tabelaszerokalistapunktowana">
    <w:name w:val="Tabela szeroka lista punktowana"/>
    <w:basedOn w:val="Tekstpodstawowy"/>
    <w:qFormat/>
    <w:rsid w:val="00F24910"/>
    <w:pPr>
      <w:numPr>
        <w:numId w:val="16"/>
      </w:numPr>
      <w:tabs>
        <w:tab w:val="num" w:pos="360"/>
      </w:tabs>
      <w:suppressAutoHyphens/>
      <w:spacing w:after="0" w:line="276" w:lineRule="auto"/>
      <w:ind w:left="227" w:hanging="227"/>
      <w:textboxTightWrap w:val="allLines"/>
    </w:pPr>
    <w:rPr>
      <w:rFonts w:ascii="Cambria" w:eastAsia="Calibri" w:hAnsi="Cambria" w:cs="Times New Roman"/>
      <w:iCs/>
      <w:sz w:val="20"/>
      <w:szCs w:val="20"/>
    </w:rPr>
  </w:style>
  <w:style w:type="paragraph" w:styleId="Tekstprzypisukocowego">
    <w:name w:val="endnote text"/>
    <w:basedOn w:val="Normalny"/>
    <w:link w:val="TekstprzypisukocowegoZnak"/>
    <w:uiPriority w:val="99"/>
    <w:semiHidden/>
    <w:unhideWhenUsed/>
    <w:rsid w:val="00F24910"/>
    <w:pPr>
      <w:spacing w:after="0" w:line="240" w:lineRule="auto"/>
    </w:pPr>
    <w:rPr>
      <w:sz w:val="20"/>
      <w:szCs w:val="20"/>
      <w:lang w:val="pl-PL"/>
    </w:rPr>
  </w:style>
  <w:style w:type="character" w:customStyle="1" w:styleId="TekstprzypisukocowegoZnak">
    <w:name w:val="Tekst przypisu końcowego Znak"/>
    <w:basedOn w:val="Domylnaczcionkaakapitu"/>
    <w:link w:val="Tekstprzypisukocowego"/>
    <w:uiPriority w:val="99"/>
    <w:semiHidden/>
    <w:rsid w:val="00F24910"/>
    <w:rPr>
      <w:sz w:val="20"/>
      <w:szCs w:val="20"/>
      <w:lang w:val="pl-PL"/>
    </w:rPr>
  </w:style>
  <w:style w:type="character" w:styleId="Odwoanieprzypisukocowego">
    <w:name w:val="endnote reference"/>
    <w:basedOn w:val="Domylnaczcionkaakapitu"/>
    <w:uiPriority w:val="99"/>
    <w:semiHidden/>
    <w:unhideWhenUsed/>
    <w:rsid w:val="00F24910"/>
    <w:rPr>
      <w:vertAlign w:val="superscript"/>
    </w:rPr>
  </w:style>
  <w:style w:type="paragraph" w:styleId="Tekstprzypisudolnego">
    <w:name w:val="footnote text"/>
    <w:basedOn w:val="Normalny"/>
    <w:link w:val="TekstprzypisudolnegoZnak"/>
    <w:uiPriority w:val="99"/>
    <w:semiHidden/>
    <w:unhideWhenUsed/>
    <w:rsid w:val="00F24910"/>
    <w:pPr>
      <w:spacing w:after="0" w:line="240" w:lineRule="auto"/>
    </w:pPr>
    <w:rPr>
      <w:sz w:val="20"/>
      <w:szCs w:val="20"/>
      <w:lang w:val="pl-PL"/>
    </w:rPr>
  </w:style>
  <w:style w:type="character" w:customStyle="1" w:styleId="TekstprzypisudolnegoZnak">
    <w:name w:val="Tekst przypisu dolnego Znak"/>
    <w:basedOn w:val="Domylnaczcionkaakapitu"/>
    <w:link w:val="Tekstprzypisudolnego"/>
    <w:uiPriority w:val="99"/>
    <w:semiHidden/>
    <w:rsid w:val="00F24910"/>
    <w:rPr>
      <w:sz w:val="20"/>
      <w:szCs w:val="20"/>
      <w:lang w:val="pl-PL"/>
    </w:rPr>
  </w:style>
  <w:style w:type="character" w:styleId="Odwoanieprzypisudolnego">
    <w:name w:val="footnote reference"/>
    <w:basedOn w:val="Domylnaczcionkaakapitu"/>
    <w:uiPriority w:val="99"/>
    <w:semiHidden/>
    <w:unhideWhenUsed/>
    <w:rsid w:val="00F24910"/>
    <w:rPr>
      <w:vertAlign w:val="superscript"/>
    </w:rPr>
  </w:style>
  <w:style w:type="paragraph" w:customStyle="1" w:styleId="StopkaCopyright">
    <w:name w:val="Stopka Copyright"/>
    <w:basedOn w:val="Normalny"/>
    <w:qFormat/>
    <w:rsid w:val="00F24910"/>
    <w:pPr>
      <w:spacing w:after="0" w:line="240" w:lineRule="auto"/>
      <w:jc w:val="both"/>
      <w:textboxTightWrap w:val="allLines"/>
    </w:pPr>
    <w:rPr>
      <w:rFonts w:ascii="Roboto" w:eastAsia="Calibri" w:hAnsi="Roboto" w:cs="Times New Roman"/>
      <w:iCs/>
      <w:color w:val="000000" w:themeColor="text1"/>
      <w:sz w:val="16"/>
      <w:szCs w:val="18"/>
      <w:lang w:val="pl-PL"/>
    </w:rPr>
  </w:style>
  <w:style w:type="paragraph" w:customStyle="1" w:styleId="Standard">
    <w:name w:val="Standard"/>
    <w:link w:val="StandardZnak"/>
    <w:rsid w:val="00F24910"/>
    <w:pPr>
      <w:suppressAutoHyphens/>
      <w:autoSpaceDN w:val="0"/>
      <w:spacing w:after="47" w:line="271" w:lineRule="auto"/>
      <w:ind w:left="10" w:hanging="10"/>
      <w:jc w:val="both"/>
      <w:textAlignment w:val="baseline"/>
    </w:pPr>
    <w:rPr>
      <w:rFonts w:ascii="Times New Roman" w:eastAsia="Times New Roman" w:hAnsi="Times New Roman" w:cs="Times New Roman"/>
      <w:color w:val="000000"/>
      <w:kern w:val="3"/>
      <w:sz w:val="24"/>
      <w:lang w:val="pl-PL" w:eastAsia="pl-PL"/>
    </w:rPr>
  </w:style>
  <w:style w:type="character" w:customStyle="1" w:styleId="StandardZnak">
    <w:name w:val="Standard Znak"/>
    <w:basedOn w:val="Domylnaczcionkaakapitu"/>
    <w:link w:val="Standard"/>
    <w:rsid w:val="00F24910"/>
    <w:rPr>
      <w:rFonts w:ascii="Times New Roman" w:eastAsia="Times New Roman" w:hAnsi="Times New Roman" w:cs="Times New Roman"/>
      <w:color w:val="000000"/>
      <w:kern w:val="3"/>
      <w:sz w:val="24"/>
      <w:lang w:val="pl-PL" w:eastAsia="pl-PL"/>
    </w:rPr>
  </w:style>
  <w:style w:type="paragraph" w:customStyle="1" w:styleId="Akapitzlist1">
    <w:name w:val="Akapit z listą1"/>
    <w:basedOn w:val="Standard"/>
    <w:rsid w:val="00F24910"/>
    <w:pPr>
      <w:spacing w:after="200" w:line="240" w:lineRule="auto"/>
      <w:ind w:left="720" w:firstLine="0"/>
      <w:jc w:val="left"/>
    </w:pPr>
    <w:rPr>
      <w:rFonts w:ascii="Calibri" w:eastAsia="SimSun" w:hAnsi="Calibri" w:cs="Calibri"/>
      <w:color w:val="auto"/>
      <w:sz w:val="22"/>
      <w:lang w:eastAsia="en-US"/>
    </w:rPr>
  </w:style>
  <w:style w:type="paragraph" w:customStyle="1" w:styleId="TabelaszerokaNormalny">
    <w:name w:val="Tabela szeroka Normalny"/>
    <w:basedOn w:val="Tekstpodstawowy"/>
    <w:qFormat/>
    <w:rsid w:val="00F24910"/>
    <w:pPr>
      <w:suppressAutoHyphens/>
      <w:spacing w:after="0" w:line="276" w:lineRule="auto"/>
      <w:textboxTightWrap w:val="allLines"/>
    </w:pPr>
    <w:rPr>
      <w:rFonts w:ascii="Cambria" w:eastAsia="Calibri" w:hAnsi="Cambria" w:cs="Times New Roman"/>
      <w:iCs/>
      <w:sz w:val="20"/>
      <w:szCs w:val="20"/>
    </w:rPr>
  </w:style>
  <w:style w:type="character" w:customStyle="1" w:styleId="Nagwek1Znak">
    <w:name w:val="Nagłówek 1 Znak"/>
    <w:basedOn w:val="Domylnaczcionkaakapitu"/>
    <w:link w:val="Nagwek1"/>
    <w:uiPriority w:val="9"/>
    <w:rsid w:val="001D2E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49</Pages>
  <Words>14158</Words>
  <Characters>80707</Characters>
  <Application>Microsoft Office Word</Application>
  <DocSecurity>0</DocSecurity>
  <Lines>672</Lines>
  <Paragraphs>189</Paragraphs>
  <ScaleCrop>false</ScaleCrop>
  <Company/>
  <LinksUpToDate>false</LinksUpToDate>
  <CharactersWithSpaces>94676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Adamowicz</dc:creator>
  <cp:keywords/>
  <dc:description/>
  <cp:lastModifiedBy>Jolanta Adamowicz</cp:lastModifiedBy>
  <cp:revision>4</cp:revision>
  <dcterms:created xsi:type="dcterms:W3CDTF">2023-06-22T14:13:00Z</dcterms:created>
  <dcterms:modified xsi:type="dcterms:W3CDTF">2023-06-23T20:12:00Z</dcterms:modified>
</cp:coreProperties>
</file>