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991F38">
        <w:rPr>
          <w:rFonts w:ascii="Times New Roman" w:hAnsi="Times New Roman"/>
          <w:bCs/>
          <w:sz w:val="28"/>
          <w:szCs w:val="28"/>
          <w:u w:val="single"/>
        </w:rPr>
        <w:t>KLASA II EF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1573B4"/>
    <w:rsid w:val="00174F5A"/>
    <w:rsid w:val="001B2B6A"/>
    <w:rsid w:val="00336F90"/>
    <w:rsid w:val="00390029"/>
    <w:rsid w:val="003938F5"/>
    <w:rsid w:val="004254F3"/>
    <w:rsid w:val="004B1366"/>
    <w:rsid w:val="004F68DE"/>
    <w:rsid w:val="005048A7"/>
    <w:rsid w:val="00527D17"/>
    <w:rsid w:val="00595800"/>
    <w:rsid w:val="00613A60"/>
    <w:rsid w:val="006333A6"/>
    <w:rsid w:val="00634982"/>
    <w:rsid w:val="00672A74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991F38"/>
    <w:rsid w:val="00AB7813"/>
    <w:rsid w:val="00AC6CC9"/>
    <w:rsid w:val="00B22459"/>
    <w:rsid w:val="00B931B7"/>
    <w:rsid w:val="00C21BD8"/>
    <w:rsid w:val="00D13FF9"/>
    <w:rsid w:val="00D65424"/>
    <w:rsid w:val="00DB4CE1"/>
    <w:rsid w:val="00E3597F"/>
    <w:rsid w:val="00E6344F"/>
    <w:rsid w:val="00E656AF"/>
    <w:rsid w:val="00E72003"/>
    <w:rsid w:val="00EA1F24"/>
    <w:rsid w:val="00F2116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40</cp:revision>
  <dcterms:created xsi:type="dcterms:W3CDTF">2024-10-28T19:25:00Z</dcterms:created>
  <dcterms:modified xsi:type="dcterms:W3CDTF">2024-11-28T15:28:00Z</dcterms:modified>
</cp:coreProperties>
</file>