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F3A" w:rsidRPr="00CE64C1" w:rsidRDefault="00470F3A" w:rsidP="00470F3A">
      <w:pPr>
        <w:spacing w:after="0" w:line="240" w:lineRule="auto"/>
        <w:rPr>
          <w:rFonts w:ascii="Calibri" w:eastAsia="Calibri" w:hAnsi="Calibri" w:cs="Times New Roman"/>
          <w:sz w:val="32"/>
          <w:szCs w:val="32"/>
          <w:lang w:val="pl-PL"/>
        </w:rPr>
      </w:pPr>
    </w:p>
    <w:tbl>
      <w:tblPr>
        <w:tblStyle w:val="Tabela-Siatka1"/>
        <w:tblpPr w:leftFromText="180" w:rightFromText="180" w:vertAnchor="text" w:tblpY="1"/>
        <w:tblW w:w="4904" w:type="pct"/>
        <w:tblLayout w:type="fixed"/>
        <w:tblLook w:val="0600" w:firstRow="0" w:lastRow="0" w:firstColumn="0" w:lastColumn="0" w:noHBand="1" w:noVBand="1"/>
      </w:tblPr>
      <w:tblGrid>
        <w:gridCol w:w="3257"/>
        <w:gridCol w:w="2834"/>
        <w:gridCol w:w="2693"/>
        <w:gridCol w:w="2410"/>
        <w:gridCol w:w="3117"/>
      </w:tblGrid>
      <w:tr w:rsidR="00F90D01" w:rsidRPr="00BD350C" w:rsidTr="002B4172">
        <w:trPr>
          <w:trHeight w:val="397"/>
        </w:trPr>
        <w:tc>
          <w:tcPr>
            <w:tcW w:w="5000" w:type="pct"/>
            <w:gridSpan w:val="5"/>
          </w:tcPr>
          <w:p w:rsidR="00F90D01" w:rsidRPr="00491018" w:rsidRDefault="0036532F" w:rsidP="0049101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Wymagania edukacyjne niezbędne do uzyskania poszczególnych śródrocznych i rocznych ocen klasyfikacyjnych z historii i teraźniejszości </w:t>
            </w:r>
            <w:r w:rsidR="002B41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klasie  III</w:t>
            </w:r>
            <w:r w:rsidR="00491018"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B41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g.</w:t>
            </w:r>
            <w:r w:rsid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2B41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</w:t>
            </w:r>
            <w:r w:rsidRP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101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Rok szkolny 2024/25</w:t>
            </w:r>
          </w:p>
        </w:tc>
      </w:tr>
      <w:tr w:rsidR="00F90D01" w:rsidRPr="00470F3A" w:rsidTr="002B4172">
        <w:trPr>
          <w:trHeight w:val="397"/>
        </w:trPr>
        <w:tc>
          <w:tcPr>
            <w:tcW w:w="1138" w:type="pct"/>
          </w:tcPr>
          <w:p w:rsidR="00F90D01" w:rsidRPr="007F1637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="00F90D01"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dopuszczająca</w:t>
            </w:r>
          </w:p>
        </w:tc>
        <w:tc>
          <w:tcPr>
            <w:tcW w:w="990" w:type="pct"/>
          </w:tcPr>
          <w:p w:rsidR="00F90D01" w:rsidRPr="007F1637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="00F90D01"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cena dostateczna </w:t>
            </w:r>
          </w:p>
        </w:tc>
        <w:tc>
          <w:tcPr>
            <w:tcW w:w="941" w:type="pct"/>
          </w:tcPr>
          <w:p w:rsidR="00F90D01" w:rsidRPr="007F1637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="00F90D01"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dobra</w:t>
            </w:r>
          </w:p>
        </w:tc>
        <w:tc>
          <w:tcPr>
            <w:tcW w:w="842" w:type="pct"/>
          </w:tcPr>
          <w:p w:rsidR="00F90D01" w:rsidRPr="007F1637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="00F90D01"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bardzo dobra</w:t>
            </w:r>
          </w:p>
        </w:tc>
        <w:tc>
          <w:tcPr>
            <w:tcW w:w="1089" w:type="pct"/>
          </w:tcPr>
          <w:p w:rsidR="00F90D01" w:rsidRPr="007F1637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</w:t>
            </w:r>
            <w:r w:rsidR="00F90D01" w:rsidRPr="007F16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celująca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521542" w:rsidP="00521542">
            <w:pPr>
              <w:tabs>
                <w:tab w:val="left" w:pos="178"/>
              </w:tabs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0" w:name="_Hlk134670750"/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dokumenty tworzące Unię Europejską i ich najważniejsze postanowienia;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Unii Europejskiej;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państwa strefy euro;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pokazuje na mapie proces rozszerzania się Unii Europejskiej;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Jednolity Akt Europejski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z Maastricht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Europejska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strefa euro</w:t>
            </w:r>
          </w:p>
        </w:tc>
        <w:tc>
          <w:tcPr>
            <w:tcW w:w="990" w:type="pct"/>
          </w:tcPr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kryteria przyjmowania nowych państw do Unii Europejskiej;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płaszczyzny współpracy między krajami Unii Europejskiej;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państwa strefy Schengen;</w:t>
            </w:r>
          </w:p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kryteria kopenhaskie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strefa Schengen</w:t>
            </w:r>
          </w:p>
        </w:tc>
        <w:tc>
          <w:tcPr>
            <w:tcW w:w="941" w:type="pct"/>
          </w:tcPr>
          <w:p w:rsidR="00F90D01" w:rsidRPr="00660C88" w:rsidRDefault="00521542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zakres współpracy pomiędzy państwami Unii Europejskiej;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wskazuje różnice pomiędzy poszczególnymi dokumentami tworzącymi podstawy prawne Unii Europejskiej;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znaczenie strefy Schengen i strefy euro;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przedstawia współpracę Unii Europejskiej z Norwegią i </w:t>
            </w:r>
            <w:r w:rsidR="00660C88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jej stosunek do Unii Europejskiej</w:t>
            </w:r>
          </w:p>
        </w:tc>
        <w:tc>
          <w:tcPr>
            <w:tcW w:w="842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strefa Schengen i strefa euro nie pokrywa się z krajami Unii Europejskiej;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rozszerzania zakresu współpracy pomiędzy państwami Unii Europejskiej;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przedstawia współpracę Unii Europejskiej ze Szwajcarią i </w:t>
            </w:r>
            <w:r w:rsidR="00660C88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stosunek Szwajcarii do Unii Europejskiej</w:t>
            </w:r>
          </w:p>
        </w:tc>
        <w:tc>
          <w:tcPr>
            <w:tcW w:w="1089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znaczenie Jednolitego Aktu Europejskiego i traktatu z Maastricht;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został zawarty traktat lizboński;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Finlandia starała się o członkostwo</w:t>
            </w:r>
            <w:r w:rsidR="0049101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w Unii Europej</w:t>
            </w:r>
            <w:r w:rsidR="002B4172">
              <w:rPr>
                <w:rFonts w:ascii="Times New Roman" w:eastAsia="Calibri" w:hAnsi="Times New Roman" w:cs="Times New Roman"/>
                <w:sz w:val="18"/>
                <w:szCs w:val="18"/>
              </w:rPr>
              <w:t>skiej dopiero w latach 90. XX wieku</w:t>
            </w:r>
            <w:bookmarkStart w:id="1" w:name="_GoBack"/>
            <w:bookmarkEnd w:id="1"/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najważniejsze partie w Polsce po 1990 r.;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zmiany ustrojowe, które wprowadziła Mała Konstytucja;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reformy rządu Jerzego Buzka;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Sojusz Lewicy Demokratycznej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Unia Demokratyczna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Mała Konstytucja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jest Jerzy Buzek</w:t>
            </w:r>
          </w:p>
        </w:tc>
        <w:tc>
          <w:tcPr>
            <w:tcW w:w="990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ruchy polityczne w Polsce po 1990 r.;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zmian na polskiej scenie politycznej po 1990 r.;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jak chciano zapobiec rozdrobnieniu politycznemu w Polsce;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podstawy prawne, na których opierają się relacje między państwem polskim a kościołami i związkami wyznaniowymi;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Bezpartyjny Blok Wspierania Reform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konkordat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próg wyborczy</w:t>
            </w:r>
          </w:p>
        </w:tc>
        <w:tc>
          <w:tcPr>
            <w:tcW w:w="941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zmian rządów po 1990 r.;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przebieg prac nad nową konstytucją;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reformy rządu Jerzego Buzka;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stosunki wyznaniowe w Polsce;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recesja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lustracja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wie, kim były / są wymienione postacie, oraz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ich polityczną rolę: Jan K. Bielecki, Aleksander Kwaśniewski, Leszek Miller, Jan Olszewski, Antoni Macierewicz</w:t>
            </w:r>
          </w:p>
        </w:tc>
        <w:tc>
          <w:tcPr>
            <w:tcW w:w="842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ocenia, czy reformy rządu Jerzego Buzka spełniły oczekiwania Polaków;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podpisania i ratyfikowania konkordatu;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stabilność polskiej sceny politycznej i jej wpływ na funkcjonowanie państwa;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jest Hanna Suchocka</w:t>
            </w:r>
          </w:p>
        </w:tc>
        <w:tc>
          <w:tcPr>
            <w:tcW w:w="1089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relacje między rządem a Prezydentem w Polsce w latach 1991–2005;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funkcjonowanie rządów w Polsce w latach 1991–2005, przywołując ich sukcesy i porażki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zasady ustrojowe zawarte w konstytucji polskiej;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prawa i obowiązki obywatela zawarte w konstytucji;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ustawodawczej i ich dwie kompetencje;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wykonawczej i ich dwie kompetencje;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suwerenności narodu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trójpodziału władzy</w:t>
            </w:r>
          </w:p>
        </w:tc>
        <w:tc>
          <w:tcPr>
            <w:tcW w:w="990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zasady ustrojowe zawarte w konstytucji polskiej;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na czym polegają prawa i obowiązki obywatela zawarte w konstytucji;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kompetencje organów władzy ustawodawczej;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podstawowe kompetencje organów władzy wykonawczej;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zasady sadownictwa w Polsce;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demokratycznego państwa prawa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pluralizmu politycznego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niezawisłości sędziów</w:t>
            </w:r>
          </w:p>
        </w:tc>
        <w:tc>
          <w:tcPr>
            <w:tcW w:w="941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uprawnienia władzy ustawodawczej i wykonawczej w Polsce z zastosowaniem podziału tych uprawnień;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wymienia etapy procesu legislacyjnego; 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przedstawia strukturę sądownictwa w Polsce;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zasady sadownictwa w Polsce;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uprawnienia Trybunału Konstytucyjnego i Trybunału Stanu;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preambuła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proces legislacyjny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Konstytucyjny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Trybunał Stanu</w:t>
            </w:r>
          </w:p>
        </w:tc>
        <w:tc>
          <w:tcPr>
            <w:tcW w:w="842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wzajemne zależności między organami władzy wykonawczej i ustawodawczej oraz podaje przykłady ich zastosowania;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zasady sądownictwa w Polsce;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pozycję Trybunału Konstytucyjnego i Trybunału Stanu w polskim systemie ustrojowym;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konstruktywne votum nieufności</w:t>
            </w:r>
          </w:p>
        </w:tc>
        <w:tc>
          <w:tcPr>
            <w:tcW w:w="1089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wskazuje różnice w procesie legislacyjnym w zależności od typu ustawy (np. ustawa zwykła i ustawa budżetowa);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skuteczność funkcjonowania Trybunału Stanu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samorządu gminnego i sposób ich powoływania;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przykładowe kompetencje organów samorządu gminnego;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samorząd terytorialny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domniemanie kompetencji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własne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zadania zlecone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gmina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burmistrz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wójt</w:t>
            </w:r>
          </w:p>
        </w:tc>
        <w:tc>
          <w:tcPr>
            <w:tcW w:w="990" w:type="pct"/>
          </w:tcPr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samorządu powiatowego i sposób ich powoływania;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przykładowe kompetencje organów samorządu powiatowego;</w:t>
            </w:r>
          </w:p>
          <w:p w:rsidR="00F90D01" w:rsidRPr="00660C88" w:rsidRDefault="00BD350C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powiat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starosta</w:t>
            </w:r>
          </w:p>
        </w:tc>
        <w:tc>
          <w:tcPr>
            <w:tcW w:w="941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samorządu wojewódzkiego i sposób ich powoływania;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przykładowe kompetencje organów samorządu wojewódzkiego;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źródła finansowania jednostek samorządu terytorialnego;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subwencja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dotacja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marszałek sejmiku wojewódzkiego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sejmik województwa</w:t>
            </w:r>
          </w:p>
        </w:tc>
        <w:tc>
          <w:tcPr>
            <w:tcW w:w="842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podstawy prawne i zasady funkcjonowania samorządu terytorialnego;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na jakie zadania jednostki samorządu terytorialnego mogą mieć różne źródła finansowania;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decentralizacja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zasada pomocniczości</w:t>
            </w:r>
          </w:p>
        </w:tc>
        <w:tc>
          <w:tcPr>
            <w:tcW w:w="1089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proces odwoławczy od decyzji jednostek samorządu terytorialnego;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podejmowane przez samorząd swojej gminy, powiatu i województwa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podmioty i zakres spraw, które obejmuje prawo cywilne;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sprawy pomiędzy członkami rodziny, które są regulowane prawem rodzinnym;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norma prawna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fizyczna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osoba prawna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 prawna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zdolność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do czynności prawnych</w:t>
            </w:r>
          </w:p>
        </w:tc>
        <w:tc>
          <w:tcPr>
            <w:tcW w:w="990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różnice pomiędzy prawem naturalnym a prawem stanowionym;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podmioty i zakres spraw, które obejmuje prawo cywilne;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najważniejsze zapisy prawa karnego;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własność,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służebność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hipoteka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wykroczenie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występek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zbrodnia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odpowiedzialność karna</w:t>
            </w:r>
          </w:p>
        </w:tc>
        <w:tc>
          <w:tcPr>
            <w:tcW w:w="941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rozumie podstawowe terminy związane z naukami prawnymi;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sprawy pomiędzy członkami rodziny, które są regulowane prawem rodzinnym;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najważniejsze zapisy prawa karnego;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przysposobienie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obowiązek alimentacyjny</w:t>
            </w:r>
          </w:p>
        </w:tc>
        <w:tc>
          <w:tcPr>
            <w:tcW w:w="842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relacje między organami władzy albo organami władzy a obywatelami, które reguluje prawo administracyjne;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różnicę między wykroczeniem, występkiem i zbrodnią;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odwołanie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wniosek o ponowne rozpatrzenie sprawy</w:t>
            </w:r>
          </w:p>
        </w:tc>
        <w:tc>
          <w:tcPr>
            <w:tcW w:w="1089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różnicę między prawem materialnym a procesowym;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analizuje przykładowe pisma z zakresu prawa cywilnego, karnego i administra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cyjnego 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np. pozew, zawiadomienie o popełnieniu przest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ępstwa, decyzję administracyjną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definiuje prawa człowieka, wymieniając ich cechy;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prawa człowieka, przyporządkowując je do odpowiednich generacji;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wymienia polskie dokumenty, w których zawarte są prawa człowieka;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polskie instytucje zajmujące się ochroną praw człowieka i wyjaśnia, w jaki sposób je chronią;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prawa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trzy generacje praw człowieka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Praw Obywatelskich</w:t>
            </w:r>
          </w:p>
        </w:tc>
        <w:tc>
          <w:tcPr>
            <w:tcW w:w="990" w:type="pct"/>
          </w:tcPr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804F87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cechy praw człowieka;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trzy generacje praw człowieka;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dokumenty chroniące prawa człowieka w Europie;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europejskie instytucje zajmujące się ochroną praw człowieka i wyjaśnia, w jaki sposób je chronią;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Europejska konwencja o ochronie praw człowieka i podstawowych wolności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Europejski Trybunał Praw Człowieka</w:t>
            </w:r>
          </w:p>
        </w:tc>
        <w:tc>
          <w:tcPr>
            <w:tcW w:w="941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kształtowania się praw człowieka po II wojnie światowej;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dokumenty chroniące prawa człowieka na świecie;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ONZ, zajmujące się ochroną praw człowieka i wyjaśnia, w jaki sposób je chronią;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Powszechna Deklaracja Praw Człowieka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Rada Praw Człowieka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Komisarz Narodów Zjednoczonych ds. Praw Człowieka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Międzynarodowy Trybunał Karny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była Eleanor Roosevelt</w:t>
            </w:r>
          </w:p>
        </w:tc>
        <w:tc>
          <w:tcPr>
            <w:tcW w:w="842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kształtowania się praw człowieka do II wojny światowej;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porównuje zawartość i rolę dokumentów chroniących prawa człowieka;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przedstawia proces postępowania obywatela polskiego, który oskarża instytucje państwowe o złamanie praw człowieka 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które prawa człowieka i w jakich okolicznościach mogą być ograniczone</w:t>
            </w:r>
          </w:p>
        </w:tc>
        <w:tc>
          <w:tcPr>
            <w:tcW w:w="1089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które prawa człowieka są negatywne, a które pozytywne;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w przypadku których praw człowieka obywatel może dochodzić swych praw;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skuteczność decyzji lub wyroków różnych instytucji chroniących prawa człowieka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sposoby upamiętnienia żołnierzy podziemia niepodległościowego i osób represjonowanych w okresie PRL-u;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rehabilitacja</w:t>
            </w:r>
          </w:p>
        </w:tc>
        <w:tc>
          <w:tcPr>
            <w:tcW w:w="990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podejmowane przez polskie władze w celu rozliczenia postępowania władz PRL-u;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było trudno uzyskać wyroki skazujące w procesach autorów stanu wojennego i w sprawie użycia broni w kopalni „Wujek”</w:t>
            </w:r>
          </w:p>
        </w:tc>
        <w:tc>
          <w:tcPr>
            <w:tcW w:w="941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różne formy działalności Instytutu Pamięci Narodowej;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Pamięci Narodowej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Rzecznik Interesu Publicznego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status osoby pokrzywdzonej</w:t>
            </w:r>
          </w:p>
        </w:tc>
        <w:tc>
          <w:tcPr>
            <w:tcW w:w="842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problemy związane z przeprowadzeniem procesu lustracji;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kłamstwo lustracyjne</w:t>
            </w:r>
          </w:p>
        </w:tc>
        <w:tc>
          <w:tcPr>
            <w:tcW w:w="1089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porównuje proces rozliczenia władz komunistycznych w Polsce z podobnymi procesami w innych były państwach komunistycznych;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ocenia, czy można było proces dekom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unizacji przeprowadzić 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uzasadnia swoje stanowisko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etapy przystąpienia Polski do NATO i Unii Europejskiej;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podaje przykładowe przyczyny, dlaczego Polsce zależało na członkostwie w NATO i Unii Europejskiej;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akcesyjny</w:t>
            </w:r>
          </w:p>
        </w:tc>
        <w:tc>
          <w:tcPr>
            <w:tcW w:w="990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etapy przystąpienia Polski do NATO i Unii Europejskiej;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Polsce zależało na członkostwie w NATO i Unii Europejskiej;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Partnerstwo dla Pokoju</w:t>
            </w:r>
          </w:p>
        </w:tc>
        <w:tc>
          <w:tcPr>
            <w:tcW w:w="941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współpracę Polski z innymi krajami regionu w celu wstąpienia do NATO i Unii Europejskiej;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relacje polsko-niemieckie w latach 90. XX w.;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Weimarski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Trójkąt Wyszehradzki / Grupa Wyszehradzka</w:t>
            </w:r>
          </w:p>
        </w:tc>
        <w:tc>
          <w:tcPr>
            <w:tcW w:w="842" w:type="pct"/>
          </w:tcPr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stosunki polsko-rosyjskiej w latach 90. XX w.;</w:t>
            </w:r>
          </w:p>
          <w:p w:rsidR="00F90D01" w:rsidRPr="00660C88" w:rsidRDefault="00804F8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aktywność Polski w rejonie Europy Środkowej w latach 90. XX w.;</w:t>
            </w:r>
          </w:p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jakie czynniki wpływały na relacje Polski z innymi państwami</w:t>
            </w:r>
          </w:p>
        </w:tc>
        <w:tc>
          <w:tcPr>
            <w:tcW w:w="1089" w:type="pct"/>
          </w:tcPr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Polaków w ramach Partnerstwa dla Pokoju;</w:t>
            </w:r>
          </w:p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porównuje argumenty euroentuzjastów i eurosceptyków w czasie starania się Polski o członkostwo w Unii Europejskiej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D86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czynniki, które wpływają na pozycję Chin na początku XXI w.;</w:t>
            </w:r>
          </w:p>
          <w:p w:rsidR="00F90D01" w:rsidRPr="00660C88" w:rsidRDefault="00D86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skutki globalizacji</w:t>
            </w:r>
          </w:p>
        </w:tc>
        <w:tc>
          <w:tcPr>
            <w:tcW w:w="990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pozycję Chin na początku XXI w.;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skutki globalizacji;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sposoby radzenia sobie z pandemią COVID-19;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COVID-19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SARS-CoV-2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pandemia</w:t>
            </w:r>
          </w:p>
        </w:tc>
        <w:tc>
          <w:tcPr>
            <w:tcW w:w="941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sytuację w Korei Północnej na początku XXI w.;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skutki Arabskiej Wiosny;</w:t>
            </w:r>
          </w:p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sposoby radzenia sobie z pandemią COVID-19;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Arabska Wiosna</w:t>
            </w:r>
          </w:p>
        </w:tc>
        <w:tc>
          <w:tcPr>
            <w:tcW w:w="842" w:type="pct"/>
          </w:tcPr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skutki kryzys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 finansowego z początku XXI </w:t>
            </w:r>
          </w:p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Arabskiej Wiosny</w:t>
            </w:r>
          </w:p>
        </w:tc>
        <w:tc>
          <w:tcPr>
            <w:tcW w:w="1089" w:type="pct"/>
          </w:tcPr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skutki pandemii COVID-19 dla życia społecznego;</w:t>
            </w:r>
          </w:p>
          <w:p w:rsidR="00F90D01" w:rsidRPr="00660C88" w:rsidRDefault="006E53AB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wpływ Arabskiej Wiosny na stabilizację w rejonie Bliskiego Wschodu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różne nurty terroryzmu w XXI w.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zamachy terrorystyczne w XXI w. i ich konsekwencje;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terroryzm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World Trade Center</w:t>
            </w:r>
          </w:p>
        </w:tc>
        <w:tc>
          <w:tcPr>
            <w:tcW w:w="990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różne nurty terroryzmu w XXI w.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interwencję wojsk koalicji w Afganistanie;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Al-Kaida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talibowie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wie, kim były / są wymienione postacie, oraz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ich polityczną rolę: Osama bin Laden, George W. Bush</w:t>
            </w:r>
          </w:p>
        </w:tc>
        <w:tc>
          <w:tcPr>
            <w:tcW w:w="941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interwencję wojsk koalicji w Iraku;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działalność Państwa Islamskiego;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znaczenie Stanów Zjednoczonych w wojnie z terroryzmem;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szariat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Państwo Islamskie</w:t>
            </w:r>
          </w:p>
        </w:tc>
        <w:tc>
          <w:tcPr>
            <w:tcW w:w="842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udział Polaków w walkach w Afganistanie i Iraku;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związek między zamachami terrorystycznymi w Europie a wojną z terroryzmem na Bliskim Wschodzie;</w:t>
            </w:r>
          </w:p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skutki wojny z terroryzmem dla państw muzułmańskich, Stanów Zjednoczonych i Europy</w:t>
            </w:r>
          </w:p>
        </w:tc>
        <w:tc>
          <w:tcPr>
            <w:tcW w:w="1089" w:type="pct"/>
          </w:tcPr>
          <w:p w:rsidR="00F90D01" w:rsidRPr="00660C88" w:rsidRDefault="00B9364D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skuteczność interwencji wojsk koalicji w Afganistanie i Iraku;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rolę i dążenia Kurdów w trakcie wojny z terroryzmem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organy władzy Unii Europejskiej i ich przykładowe uprawnienia;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przyczyny i skutki kryzysu migracyjnego w Unii Europejskiej;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działania Unii Europejskiej wobec pandemii COVID-19;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Przewodniczący Rady Europejskiej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Wysoki Przedstawiciel Unii ds. Zagranicznych i Polityki Bezpieczeństwa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lockdown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dokumenty unijne zawarte na początku XXI w. i ich główne założenia;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kryzysu migracyjnego w Unii Europejskiej;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politykę Unii Europejskiej wobec pandemii COVID-19;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Praw Podstawowych Unii Europejskiej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nicejski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traktat lizboński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tarcza antykryzysowa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koncepcje integracji Europy;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postawy państw Unii Europejskiej wobec kryzysu migracyjnego;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i skutki wystąpienia Wielkiej Brytanii z Unii Europejskiej;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Stany Zjednoczone Europy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Ojczyzn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Europa wielu prędkości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porównuje koncepcje integracji Europy;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przyczyny i skutki wystąpienia Wielkiej Brytanii z Unii Europejskiej;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politykę Unii Europejskiej wobec pandemii COVID-19;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wpływ problemów, z którymi mierzy się Unia Europejska, na jej funkcjonowanie i pozycję w niej poszczególnych państw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koncepcje integracji europejskiej pod kątem korzyści, które niosą one ze sobą dla poszczególnych grup państw członkowski;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możliwości działania obywateli państw członkowskich w ramach Unii Europejskiej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i skutki wojny w Czeczenii;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i skutki konfliktu w Gruzji;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wojny w Ukrainie;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Euromajdan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są wymienione postacie, oraz przedstawia ich polityczną rolę: Władimir Putin, Wołodymyr Zełenski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omawia sytuację w Gruzji;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przebieg wojny w Ukrainie;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wie, kim były / są wymienione postacie, oraz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ich historyczną rolę: Dżochar Dudajew, Achmat Kadyrow, Ramzan Kadyrow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przedstawia, w jaki sposób przywódcy Rosji dążą do wzmocnienia władzy;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proces aneksji Krymu;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przedstawia stosunek państw środkowoeuropejskich do polityki rosyjskiej na Kaukazie i Ukrainie; 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różne formy prowadzenia wojny przez Rosję;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pojęcia;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„zielone ludziki”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wojna hybrydowa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szantaż gazowy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był Borys Jelcyn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możliwości działania opozycji w Rosji;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wpływ różnych form prowadzenia wojny przez Rosję na sytuację w Europie;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od czego zależy polityka Rosji wobec Ukrainy;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stosunek państw zachodnioeuropejskich i Stanów Zjednoczonych do polityki rosyjskiej na Kaukazie i Ukrainie;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kolonia karna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jest Wiktor Janukowycz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działalność „Memoriału” jako organizacji opozycyjnej w Rosji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sukcesy i porażki poszczególnych rządów na początku XXI w.;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główne partie polityczne działające w Polsce na początku XXI w.;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Platforma Obywatelska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Prawo i Sprawiedliwość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Zjednoczona Prawica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główne założenia poszczególnych rządów w polityce wewnętrznej i zagranicznej;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zmian rządów na początku XXI w.;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postkomunizm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kohabitacja polityczna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dług publiczny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040A44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są wymienione postacie, oraz przedstawia ich polityczną rolę: Kazimierz Marcinkiewicz, Bronisław Komorowski, Andrzej Duda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polską scenę polityczną na początku XXI w.;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zmian rządów na początku XXI w.;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Liga Polskich Rodzin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Samoobrona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katastrofa smoleńska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wie, kim były / są wymienione postacie, oraz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ich polityczną rolę: Donald Tusk, Andrzej Lepper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ocenia, jak afery, do których dochodziło za poszczególnych rządów, wpływały na ich ocenę przez społeczeństwo;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realizację założeń poszczególnych rządów w polityce wewnętrznej i zagranicznej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przedstawia działania wybranego przez siebie rządu z początku XXI w. w polityce </w:t>
            </w: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wewnętrznej i zagranicznej                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je pod kątem rozwoju wewnętrznego Polski i jej racji stanu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pokazuje na mapie skupiska Polaków i Polonii po II wojnie światowej;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emigracji z Polski po II wojnie światowej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instytucje polskie działające na emigracji;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znaczenie organizacji tworzonych przez Polaków na emigracji dla podtrzymywania polskości i rozwoju kultury polskiej;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Polski i Muzeum im. gen. Sikorskiego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Instytut Józefa Piłsudskiego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Maisons-Laffitte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Rozgłośnia Polska Radia Wolna Europa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040A44" w:rsidP="00040A44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były wymienione postacie,: Jerzy Giedroyć, Jan Nowak Jeziorański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rolę, jaką odgrywały instytucje emigracyjne po II wojnie światowej;</w:t>
            </w:r>
          </w:p>
          <w:p w:rsidR="00F90D01" w:rsidRPr="00660C88" w:rsidRDefault="00F90D01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podstawy prawne i możliwości działania polskich władz emigracyjnych;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depozytariusz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miesięcznik „Kultura”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kim były wymienione postacie, oraz przedstawia ich historyczną rolę: Edward Raczyński, August Zaleski, Ryszard Kaczorowski, Władysław Anders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sytuację Polaków w ZSRS i byłych republikach radzieckich;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w jaki sposób rząd polski wspiera Polaków na terenie byłego ZSRS;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Karta Polaka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wie, jest Andżelika Borys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organizacji polonijnych funkcjonujących w różnych państwach (np. Kongres Polonii Amerykańskiej w Stanach Zjednoczonych czy Związek Polaków w Niemczech)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zalety i wady polityki wielokulturowości;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główne płaszczyzny współczesnych sporów światopoglądowych;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polityka wielokulturowości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zalety i wady polityki wielokulturowości;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znaczenie dziedzictwa kulturalnego dla współczesnej kultury;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segregacja rasowa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dziedzictwo kulturowe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założenia polityki wielokulturowości;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jakie znaczenie ma obecnie postawa tolerancji i w czym się ona przejawia;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poprawność polityczna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asymilacja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tolerancja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dyskryminacja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korzyści i zagrożenia płynące z polityki wielokulturowości;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porównuje główne argumenty współczesnych sporów światopoglądowych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w jaki sposób zmiany kulturowe końca XX i początku XXI w. znajdują odzwierciedlenie w tekstach kultury z tego okresu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zna definicję społeczeństwa cyfrowego / społeczeństwa informacyjnego;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korzyści i zagrożenia wynikające z komunikacji cyfrowej dla jednostki;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cyfrowe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społeczeństwo informacyjne</w:t>
            </w:r>
          </w:p>
        </w:tc>
        <w:tc>
          <w:tcPr>
            <w:tcW w:w="990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rozwoju komunikacji cyfrowej;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korzyści i zagrożenia wynikające z komunikacji cyfrowej dla jednostki;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siecioholizm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fake newsy</w:t>
            </w:r>
          </w:p>
        </w:tc>
        <w:tc>
          <w:tcPr>
            <w:tcW w:w="941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wpływ rozwoju usług cyfrowych na gospodarkę, edukację;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korzyści i zagrożenia wynikające z komunikacji cyfrowej dla społeczeństwa;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wykluczenie cyfrowe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dezinformacja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bańka filtrująca</w:t>
            </w:r>
          </w:p>
        </w:tc>
        <w:tc>
          <w:tcPr>
            <w:tcW w:w="842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wpływ rozwoju usług cyfrowych na kulturę;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w jaki sposób można nadużywać wolności słowa w Internecie, i przedstawia działania zapobiegające temu zjawisku;</w:t>
            </w:r>
          </w:p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pojęcie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netykieta</w:t>
            </w:r>
          </w:p>
        </w:tc>
        <w:tc>
          <w:tcPr>
            <w:tcW w:w="1089" w:type="pct"/>
          </w:tcPr>
          <w:p w:rsidR="00F90D01" w:rsidRPr="00660C88" w:rsidRDefault="00040A44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ocenia, czy we współczesnym świecie można funkcjonować bez korzystania z mediów społecznościowych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typy komunikacji społecznej;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środki masowego przekazu;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komunikacja społeczna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mass media</w:t>
            </w:r>
          </w:p>
        </w:tc>
        <w:tc>
          <w:tcPr>
            <w:tcW w:w="990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zasady, na których opiera się komunikacja społeczna;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funkcje środków masowego przekazu;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prawa mediów</w:t>
            </w:r>
          </w:p>
        </w:tc>
        <w:tc>
          <w:tcPr>
            <w:tcW w:w="941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zasady, na których opiera się komunikacja społeczna;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funkcje środków masowego przekazu;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obowiązki mediów</w:t>
            </w:r>
          </w:p>
        </w:tc>
        <w:tc>
          <w:tcPr>
            <w:tcW w:w="842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wyjaśnia, dlaczego środki masowego przekazu określa się jako czwartą władzę;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prawa i obowiązki pracowników mediów</w:t>
            </w:r>
          </w:p>
        </w:tc>
        <w:tc>
          <w:tcPr>
            <w:tcW w:w="1089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podaje przykłady pełnienia przez media funkcji czwartej władzy na podstawie publicystyki, literatury czy filmu</w:t>
            </w:r>
          </w:p>
        </w:tc>
      </w:tr>
      <w:tr w:rsidR="00F90D01" w:rsidRPr="00660C88" w:rsidTr="002B4172">
        <w:trPr>
          <w:trHeight w:val="397"/>
        </w:trPr>
        <w:tc>
          <w:tcPr>
            <w:tcW w:w="1138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działania Polski w polityce zagranicznej;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przykładowe działania wojsk polskich w ramach NATO;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przyczyny kryzysu demograficznego;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wymienia zmiany klimatyczne zachodzące na świecie;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kryzys demograficzny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ocieplenie klimatu</w:t>
            </w:r>
          </w:p>
        </w:tc>
        <w:tc>
          <w:tcPr>
            <w:tcW w:w="990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Polski w polityce zagranicznej;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wojsk polskich w ramach NATO;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sposoby przezwyciężenia kryzysu demograficznego;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zmiany klimatyczne zachodzące na świecie</w:t>
            </w:r>
          </w:p>
        </w:tc>
        <w:tc>
          <w:tcPr>
            <w:tcW w:w="941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dorobek Polski w końcu XX i na początku XXI w.;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wyjaśnia przyczyny kryzysu demograficznego;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podejmowane przez państwa próby zahamowania zachodzących zmian klimatycznych;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zna i wyjaśnia pojęcia: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geopolityka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="00F90D01" w:rsidRPr="00660C88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protokół z Kioto</w:t>
            </w:r>
          </w:p>
        </w:tc>
        <w:tc>
          <w:tcPr>
            <w:tcW w:w="842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dorobek Polski w końcu XX i na początku XXI w.;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charakteryzuje działania podjęte przez Polskę w celu zapewnienia bezpieczeństwa energetycznego;</w:t>
            </w:r>
          </w:p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ocenia skuteczność podejmowanych przez państwa prób zahamowania zachodzących zmian klimatycznych</w:t>
            </w:r>
          </w:p>
        </w:tc>
        <w:tc>
          <w:tcPr>
            <w:tcW w:w="1089" w:type="pct"/>
          </w:tcPr>
          <w:p w:rsidR="00F90D01" w:rsidRPr="00660C88" w:rsidRDefault="007F1637" w:rsidP="00ED7988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F90D01" w:rsidRPr="00660C88">
              <w:rPr>
                <w:rFonts w:ascii="Times New Roman" w:eastAsia="Calibri" w:hAnsi="Times New Roman" w:cs="Times New Roman"/>
                <w:sz w:val="18"/>
                <w:szCs w:val="18"/>
              </w:rPr>
              <w:t>przedstawia działania zmierzające do rozwiązania problemów przedstawionych w rozdziale (demografia, zmiany klimatyczne) w swoim regionie</w:t>
            </w:r>
          </w:p>
        </w:tc>
      </w:tr>
    </w:tbl>
    <w:bookmarkEnd w:id="0"/>
    <w:p w:rsidR="00470F3A" w:rsidRPr="00F17342" w:rsidRDefault="00ED7988" w:rsidP="00470F3A">
      <w:pPr>
        <w:tabs>
          <w:tab w:val="left" w:pos="5040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660C88">
        <w:rPr>
          <w:rFonts w:ascii="Times New Roman" w:eastAsia="Calibri" w:hAnsi="Times New Roman" w:cs="Times New Roman"/>
          <w:sz w:val="18"/>
          <w:szCs w:val="18"/>
          <w:lang w:val="pl-PL"/>
        </w:rPr>
        <w:br w:type="textWrapping" w:clear="all"/>
      </w:r>
    </w:p>
    <w:p w:rsidR="00162CAB" w:rsidRPr="00F17342" w:rsidRDefault="00470F3A" w:rsidP="00757892">
      <w:pPr>
        <w:pStyle w:val="Akapitzlist"/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:rsidR="00162CAB" w:rsidRPr="00F17342" w:rsidRDefault="00162CAB" w:rsidP="00162CAB">
      <w:pPr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:rsidR="00986B21" w:rsidRPr="00F17342" w:rsidRDefault="00C901DF">
      <w:pPr>
        <w:rPr>
          <w:rFonts w:ascii="Times New Roman" w:hAnsi="Times New Roman" w:cs="Times New Roman"/>
          <w:sz w:val="18"/>
          <w:szCs w:val="18"/>
          <w:lang w:val="pl-PL"/>
        </w:rPr>
      </w:pPr>
      <w:r w:rsidRPr="00F1734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sectPr w:rsidR="00986B21" w:rsidRPr="00F17342" w:rsidSect="00ED7988">
      <w:headerReference w:type="default" r:id="rId7"/>
      <w:footerReference w:type="default" r:id="rId8"/>
      <w:pgSz w:w="16838" w:h="11906" w:orient="landscape"/>
      <w:pgMar w:top="1560" w:right="820" w:bottom="849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0BC" w:rsidRDefault="008E30BC" w:rsidP="00BC30F1">
      <w:pPr>
        <w:spacing w:after="0" w:line="240" w:lineRule="auto"/>
      </w:pPr>
      <w:r>
        <w:separator/>
      </w:r>
    </w:p>
  </w:endnote>
  <w:endnote w:type="continuationSeparator" w:id="0">
    <w:p w:rsidR="008E30BC" w:rsidRDefault="008E30BC" w:rsidP="00BC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88" w:rsidRDefault="00ED7988" w:rsidP="00ED7988">
    <w:pPr>
      <w:pStyle w:val="Stopka"/>
      <w:tabs>
        <w:tab w:val="clear" w:pos="9072"/>
        <w:tab w:val="right" w:pos="9639"/>
      </w:tabs>
      <w:spacing w:before="120"/>
      <w:ind w:left="-567"/>
    </w:pPr>
    <w:r>
      <w:rPr>
        <w:b/>
        <w:color w:val="003892"/>
      </w:rPr>
      <w:t xml:space="preserve"> </w:t>
    </w:r>
  </w:p>
  <w:p w:rsidR="00ED7988" w:rsidRDefault="00ED7988" w:rsidP="00ED7988">
    <w:pPr>
      <w:pStyle w:val="Stopka"/>
      <w:tabs>
        <w:tab w:val="clear" w:pos="4536"/>
        <w:tab w:val="clear" w:pos="9072"/>
      </w:tabs>
      <w:ind w:left="-1417" w:firstLine="709"/>
      <w:jc w:val="right"/>
    </w:pPr>
  </w:p>
  <w:p w:rsidR="00ED7988" w:rsidRDefault="00ED7988" w:rsidP="00ED7988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:rsidR="00ED7988" w:rsidRDefault="00ED7988" w:rsidP="00ED7988">
    <w:pPr>
      <w:pStyle w:val="Stopka"/>
      <w:ind w:left="-1417"/>
    </w:pPr>
  </w:p>
  <w:p w:rsidR="00ED7988" w:rsidRPr="00285D6F" w:rsidRDefault="00ED7988" w:rsidP="00ED7988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0BC" w:rsidRDefault="008E30BC" w:rsidP="00BC30F1">
      <w:pPr>
        <w:spacing w:after="0" w:line="240" w:lineRule="auto"/>
      </w:pPr>
      <w:r>
        <w:separator/>
      </w:r>
    </w:p>
  </w:footnote>
  <w:footnote w:type="continuationSeparator" w:id="0">
    <w:p w:rsidR="008E30BC" w:rsidRDefault="008E30BC" w:rsidP="00BC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988" w:rsidRDefault="00ED7988" w:rsidP="00ED7988">
    <w:pPr>
      <w:pStyle w:val="Nagwek"/>
      <w:tabs>
        <w:tab w:val="clear" w:pos="9072"/>
      </w:tabs>
      <w:spacing w:after="40"/>
      <w:ind w:left="142" w:right="142"/>
    </w:pPr>
  </w:p>
  <w:p w:rsidR="00ED7988" w:rsidRDefault="00ED7988" w:rsidP="00ED7988">
    <w:pPr>
      <w:pStyle w:val="Nagwek"/>
      <w:tabs>
        <w:tab w:val="clear" w:pos="9072"/>
      </w:tabs>
      <w:ind w:left="142" w:right="142"/>
    </w:pPr>
  </w:p>
  <w:p w:rsidR="00ED7988" w:rsidRDefault="00ED7988" w:rsidP="00ED7988">
    <w:pPr>
      <w:pStyle w:val="Nagwek"/>
      <w:tabs>
        <w:tab w:val="clear" w:pos="9072"/>
      </w:tabs>
      <w:ind w:left="142" w:right="142"/>
    </w:pPr>
  </w:p>
  <w:p w:rsidR="00ED7988" w:rsidRDefault="00ED7988" w:rsidP="00ED7988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47BB1"/>
    <w:multiLevelType w:val="hybridMultilevel"/>
    <w:tmpl w:val="57D88922"/>
    <w:lvl w:ilvl="0" w:tplc="568A6BCE">
      <w:start w:val="1"/>
      <w:numFmt w:val="upperRoman"/>
      <w:lvlText w:val="%1."/>
      <w:lvlJc w:val="left"/>
      <w:pPr>
        <w:ind w:left="1080" w:hanging="72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70EF9"/>
    <w:multiLevelType w:val="hybridMultilevel"/>
    <w:tmpl w:val="386E2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77E3E"/>
    <w:multiLevelType w:val="hybridMultilevel"/>
    <w:tmpl w:val="EF56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45"/>
    <w:rsid w:val="00037431"/>
    <w:rsid w:val="00040A44"/>
    <w:rsid w:val="000476C7"/>
    <w:rsid w:val="000F669E"/>
    <w:rsid w:val="00162CAB"/>
    <w:rsid w:val="00163D20"/>
    <w:rsid w:val="002B4172"/>
    <w:rsid w:val="002E6850"/>
    <w:rsid w:val="0036532F"/>
    <w:rsid w:val="00470F3A"/>
    <w:rsid w:val="00491018"/>
    <w:rsid w:val="00521542"/>
    <w:rsid w:val="005A34E5"/>
    <w:rsid w:val="00660C88"/>
    <w:rsid w:val="006E53AB"/>
    <w:rsid w:val="00731B18"/>
    <w:rsid w:val="00757892"/>
    <w:rsid w:val="00781A68"/>
    <w:rsid w:val="007935DE"/>
    <w:rsid w:val="007F1637"/>
    <w:rsid w:val="00804F87"/>
    <w:rsid w:val="008E30BC"/>
    <w:rsid w:val="00986B21"/>
    <w:rsid w:val="00AC6645"/>
    <w:rsid w:val="00B9364D"/>
    <w:rsid w:val="00BC30F1"/>
    <w:rsid w:val="00BD350C"/>
    <w:rsid w:val="00C31A81"/>
    <w:rsid w:val="00C901DF"/>
    <w:rsid w:val="00CE64C1"/>
    <w:rsid w:val="00D46B29"/>
    <w:rsid w:val="00D86D01"/>
    <w:rsid w:val="00ED7988"/>
    <w:rsid w:val="00F17342"/>
    <w:rsid w:val="00F9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1E6005-48C5-41B7-A458-8B575C2A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342"/>
  </w:style>
  <w:style w:type="paragraph" w:styleId="Nagwek1">
    <w:name w:val="heading 1"/>
    <w:basedOn w:val="Normalny"/>
    <w:next w:val="Normalny"/>
    <w:link w:val="Nagwek1Znak"/>
    <w:uiPriority w:val="9"/>
    <w:qFormat/>
    <w:rsid w:val="00F1734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34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734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734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1"/>
    <w:uiPriority w:val="9"/>
    <w:rsid w:val="00470F3A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17342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F17342"/>
    <w:rPr>
      <w:rFonts w:asciiTheme="majorHAnsi" w:eastAsiaTheme="majorEastAsia" w:hAnsiTheme="majorHAnsi" w:cstheme="majorBidi"/>
      <w:caps/>
      <w:sz w:val="28"/>
      <w:szCs w:val="28"/>
    </w:rPr>
  </w:style>
  <w:style w:type="numbering" w:customStyle="1" w:styleId="Bezlisty1">
    <w:name w:val="Bez listy1"/>
    <w:next w:val="Bezlisty"/>
    <w:uiPriority w:val="99"/>
    <w:semiHidden/>
    <w:unhideWhenUsed/>
    <w:rsid w:val="00470F3A"/>
  </w:style>
  <w:style w:type="paragraph" w:styleId="Nagwek">
    <w:name w:val="header"/>
    <w:basedOn w:val="Normalny"/>
    <w:link w:val="NagwekZnak"/>
    <w:uiPriority w:val="99"/>
    <w:unhideWhenUsed/>
    <w:rsid w:val="00470F3A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470F3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70F3A"/>
    <w:pPr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470F3A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F3A"/>
    <w:pPr>
      <w:spacing w:after="0" w:line="240" w:lineRule="auto"/>
    </w:pPr>
    <w:rPr>
      <w:rFonts w:ascii="Tahoma" w:hAnsi="Tahoma" w:cs="Tahoma"/>
      <w:sz w:val="16"/>
      <w:szCs w:val="16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F3A"/>
    <w:rPr>
      <w:rFonts w:ascii="Tahoma" w:hAnsi="Tahoma" w:cs="Tahoma"/>
      <w:sz w:val="16"/>
      <w:szCs w:val="16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7935DE"/>
    <w:pPr>
      <w:ind w:left="720"/>
      <w:contextualSpacing/>
    </w:pPr>
  </w:style>
  <w:style w:type="table" w:styleId="Tabela-Siatka">
    <w:name w:val="Table Grid"/>
    <w:basedOn w:val="Standardowy"/>
    <w:uiPriority w:val="39"/>
    <w:rsid w:val="00470F3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next w:val="Normalny"/>
    <w:uiPriority w:val="9"/>
    <w:unhideWhenUsed/>
    <w:rsid w:val="00470F3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pl-PL"/>
    </w:rPr>
  </w:style>
  <w:style w:type="paragraph" w:customStyle="1" w:styleId="Nagwek31">
    <w:name w:val="Nagłówek 31"/>
    <w:basedOn w:val="Normalny"/>
    <w:next w:val="Normalny"/>
    <w:uiPriority w:val="9"/>
    <w:unhideWhenUsed/>
    <w:rsid w:val="00470F3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pl-PL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470F3A"/>
    <w:rPr>
      <w:color w:val="80008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1734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ezodstpw">
    <w:name w:val="No Spacing"/>
    <w:uiPriority w:val="1"/>
    <w:qFormat/>
    <w:rsid w:val="00F1734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470F3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0F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cf01">
    <w:name w:val="cf01"/>
    <w:basedOn w:val="Domylnaczcionkaakapitu"/>
    <w:rsid w:val="00470F3A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70F3A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0F3A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0F3A"/>
    <w:rPr>
      <w:vertAlign w:val="superscript"/>
    </w:rPr>
  </w:style>
  <w:style w:type="character" w:customStyle="1" w:styleId="Nagwek1Znak1">
    <w:name w:val="Nagłówek 1 Znak1"/>
    <w:basedOn w:val="Domylnaczcionkaakapitu"/>
    <w:link w:val="Nagwek11"/>
    <w:uiPriority w:val="9"/>
    <w:rsid w:val="00470F3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Nagwek1Znak2">
    <w:name w:val="Nagłówek 1 Znak2"/>
    <w:basedOn w:val="Domylnaczcionkaakapitu"/>
    <w:uiPriority w:val="9"/>
    <w:rsid w:val="00470F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1734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70F3A"/>
    <w:pPr>
      <w:spacing w:after="100"/>
    </w:pPr>
    <w:rPr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70F3A"/>
    <w:pPr>
      <w:spacing w:after="100"/>
      <w:ind w:left="220"/>
    </w:pPr>
    <w:rPr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470F3A"/>
    <w:pPr>
      <w:spacing w:after="100"/>
      <w:ind w:left="440"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470F3A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470F3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470F3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Hipercze2">
    <w:name w:val="Hiperłącze2"/>
    <w:basedOn w:val="Domylnaczcionkaakapitu"/>
    <w:uiPriority w:val="99"/>
    <w:unhideWhenUsed/>
    <w:rsid w:val="00470F3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0F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0F3A"/>
    <w:pPr>
      <w:spacing w:line="240" w:lineRule="auto"/>
    </w:pPr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0F3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0F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0F3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470F3A"/>
    <w:pPr>
      <w:spacing w:after="0" w:line="240" w:lineRule="auto"/>
    </w:pPr>
    <w:rPr>
      <w:lang w:val="pl-PL"/>
    </w:rPr>
  </w:style>
  <w:style w:type="paragraph" w:customStyle="1" w:styleId="Styl1">
    <w:name w:val="Styl1"/>
    <w:basedOn w:val="Akapitzlist"/>
    <w:link w:val="Styl1Znak"/>
    <w:rsid w:val="00470F3A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0F3A"/>
  </w:style>
  <w:style w:type="character" w:customStyle="1" w:styleId="Styl1Znak">
    <w:name w:val="Styl1 Znak"/>
    <w:basedOn w:val="AkapitzlistZnak"/>
    <w:link w:val="Styl1"/>
    <w:rsid w:val="00470F3A"/>
    <w:rPr>
      <w:rFonts w:ascii="Calibri" w:eastAsia="Calibri" w:hAnsi="Calibri" w:cs="Times New Roman"/>
      <w:sz w:val="20"/>
      <w:szCs w:val="20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470F3A"/>
    <w:rPr>
      <w:color w:val="954F72" w:themeColor="followed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470F3A"/>
    <w:rPr>
      <w:color w:val="0563C1" w:themeColor="hyperlink"/>
      <w:u w:val="single"/>
    </w:rPr>
  </w:style>
  <w:style w:type="table" w:styleId="Zwykatabela4">
    <w:name w:val="Plain Table 4"/>
    <w:basedOn w:val="Standardowy"/>
    <w:uiPriority w:val="44"/>
    <w:rsid w:val="00ED79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ED798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iatkatabelijasna">
    <w:name w:val="Grid Table Light"/>
    <w:basedOn w:val="Standardowy"/>
    <w:uiPriority w:val="40"/>
    <w:rsid w:val="00ED79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734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734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734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734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7342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7342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1734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1734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F1734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34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17342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734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1734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1734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7342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734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734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F1734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F1734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F1734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1734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F1734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3261</Words>
  <Characters>18589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18</cp:revision>
  <dcterms:created xsi:type="dcterms:W3CDTF">2023-06-22T11:51:00Z</dcterms:created>
  <dcterms:modified xsi:type="dcterms:W3CDTF">2024-10-31T22:58:00Z</dcterms:modified>
</cp:coreProperties>
</file>