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6A62C5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                           </w:t>
      </w:r>
      <w:bookmarkStart w:id="0" w:name="_GoBack"/>
      <w:bookmarkEnd w:id="0"/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z Biz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nesu i Zarzadzania w klasie 3 er</w:t>
      </w: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0E1905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0E190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0E1905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C23F9" w:rsidRPr="001C23F9" w:rsidTr="000E1905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Współpracuje w zespole.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mocne i słabe strony swojej osobowości.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przykład zachowania ważnego w pracy zespołu.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przykłady dobrego i złego zachowania.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 problemu, który udało mu się rozwiązać.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sytuacje stresujące na podstawie własnego doświadczenia.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przykłady zmian zachodzących w jego życiu, zmian zachodzące w jego otoczeniu.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="0054706F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Przedstawia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przykład urządzenia, którego obsługa wymaga aktualizacji wiedzy i umiejętności.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 umiejętności, którą rozwijał na przestrzeni lat.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Wymienia czynniki, które mają wpływ na rozwój wiedzy, 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umiejętności i kompetencji społecznych.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etycznego i nieetycznego zachowania.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współpracuje w grupie, podaje przykłady kulturalnego zachowania się na co dzień.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zarządzania czasem.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-Wyjaśnia, co to znaczy efektywnie wykorzystać czas.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wymienia czynniki utrudniające zarządzanie czasem.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wymienia znane zasady i metody zarządzania czasem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decyzji.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cechy dobrego planu.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definicje tajemnicy.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akty prawne związane z tematem lekcji.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wizerunku firmy.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Skrót PR.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przykłady wykorzystania mediów społecznościowych do budowania wizerunku firmy.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elementy komunikacji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elementy komunikacji niewerbalnej.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Wyjaśnia czym są negocjacje.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czynniki, które utrudniają komunikację w zespole.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konfliktów z którymi spotyka się na co dzień.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etapy rozwiązania sytuacji konfliktowej: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etap diagnozy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etap rozwiązania.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pracy ze swojego otoczenia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Wyjaśnia podstawowe powody, dla których ludzie pracują.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Podaje korzyści wynikające z pracy grupowej.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Odróżnia zadania indywidualne od zadań zespołowych.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Wymienia etapy planowania pracy zespołu w celu wykonania przydzielonego zadania.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Podaje przykłady predyspozycji do wykonania zadania.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Wymienia przykłady dobrze wykonanych zadań, które realizował wspólnie z grupą.</w:t>
            </w:r>
          </w:p>
          <w:p w:rsidR="001D0FFB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Wymienia przykłady szybko zmieniających się rozwiązań </w:t>
            </w: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technicznych z własnego otoczenia.</w:t>
            </w: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 xml:space="preserve">-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Podaje definicję kompetencji kluczowych. Wymienia cechy grupy.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 KPS.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etyki. Wyjaśnia czym jest moralność, kultura, kultura osobista, norma.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problemu. Wymienia fazy rozwiązywania problemu.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objawy stresu: psychologiczne, biologiczne, emocjonalne, behawioralne.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czynniki wywołujące zmiany: właściciele, klienci, dostawcy, odbiorcy, konkurenci, gospodarka, prawo, polityka.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jak zmienność i dynamiczny rozwój wpływają na konieczność podnoszenie kwalifikacji zawodowych.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Podają dowolny przykład podnoszenia kwalifikacji zawodowych.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Charakteryzuje te czynniki, wskazuje przykłady z życia świadczące o ich wpływie na rozwój.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etyczne i nieetyczne przykłady działania firm.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Rozpoznaje definicję savoir – vivre. Potrafi ogólnie opisać osobę dobrze wychowaną. Podaje przykład jednej zasady zachowania, z którą inni wg niego mają kłopot.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korzyści wynikające z formułowania celów. Dzieli cele na ogólne i szczegółowe.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 etapy planowania.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zarządzania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-Wyjaśnia, co to znaczy efektywnie wykorzystać czas.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czynniki utrudniające zarządzanie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znane zasady i metody zarządzania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decyzji.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cechy dobrego planu.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etapy planowania.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Uczeń wymienia skutki wybranej decyzji, którą musiał podjąć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 Podaje definicje tajemnicy.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akty prawne związane z tematem lekcji.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wizerunku firmy.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Wyjaśnia Skrót PR.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wykorzystania mediów społecznościowych do budowania wizerunku firmy.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Charakteryzuje poszczególne elementy komunikacji niewerbalnej.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sytuacji negocjacyjnych i barier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konfliktu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wymienia, dokonuje podziału konfliktu w organizacji ze względu na przyczyny: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proofErr w:type="spellStart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a.konflikt</w:t>
            </w:r>
            <w:proofErr w:type="spellEnd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danych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proofErr w:type="spellStart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b.konflikt</w:t>
            </w:r>
            <w:proofErr w:type="spellEnd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interesów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proofErr w:type="spellStart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c.konflikt</w:t>
            </w:r>
            <w:proofErr w:type="spellEnd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danych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proofErr w:type="spellStart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d.konflikt</w:t>
            </w:r>
            <w:proofErr w:type="spellEnd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wartości, konflikt relacji.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Wyjaśnia pojęcie praca.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-Wyjaśnia pojęcie „dochód” i „satysfakcja”.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-Wymienia formy świadczenia pracy (prawne podstawy świadczenia pracy).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Wyjaśnia pojęcie „zadanie cząstkowe” i podaje przykłady zadań cząstkowych dla opisanego zadania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jakie ma wykonać zespół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-Wyjaśnia pojęcia „proces” i „mapa procesu”.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-Wyjaśnia pojęcie „harmonogram”.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-Wymienia różne narzędzia motywowania i charakteryzuje je.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Klasyfikuje narzędzia motywowania na płacowe i pozapłacowe narzędzia motywowania.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Charakteryzuje czynniki decydujące o wyborze kanału komunikacji.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Definiuje pojęcia „jakość”, „wymagania dotyczące wykonania zadania”, „raport”, „kanał raportowania”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-Wyjaśnia na czym polega ocena jakości wykonania przydzielonego zadania.</w:t>
            </w:r>
          </w:p>
          <w:p w:rsidR="001D0FFB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-Wymienia etapy, przez które należy przejść w celu przeprowadzenia oceny jakości </w:t>
            </w: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wykonania przydzielonego zadania.</w:t>
            </w: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9E34A8">
              <w:rPr>
                <w:rFonts w:eastAsia="Calibri" w:cstheme="minorHAnsi"/>
              </w:rPr>
              <w:lastRenderedPageBreak/>
              <w:t>-</w:t>
            </w:r>
            <w:r w:rsidRPr="00C075A5">
              <w:rPr>
                <w:rFonts w:eastAsia="Calibri" w:cstheme="minorHAnsi"/>
                <w:i/>
              </w:rPr>
              <w:t>Uzasadnia, dlaczego kompetencje społeczne wpływają na wizerunek człowieka?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wyjaśnia terminy: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socjalizacja, empatia, kształcenie. ustawiczne.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wskazuje korzyści wynikające z rozwoju poszczególnych KPS.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Wymienia przykłady instytucji zajmujących się prawami człowieka.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Charakteryzuje czym zajmuje się rzecznik praw ucznia w naszej szkole.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-Charakteryzuje cechy dobrze zdefiniowanego problemu.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Analizuje utrudnienia w rozwiązywaniu problemu.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 xml:space="preserve">- Definiuje czym jest </w:t>
            </w:r>
            <w:proofErr w:type="spellStart"/>
            <w:r w:rsidRPr="00C075A5">
              <w:rPr>
                <w:rFonts w:eastAsia="Calibri" w:cstheme="minorHAnsi"/>
                <w:i/>
              </w:rPr>
              <w:t>eustres</w:t>
            </w:r>
            <w:proofErr w:type="spellEnd"/>
            <w:r w:rsidRPr="00C075A5">
              <w:rPr>
                <w:rFonts w:eastAsia="Calibri" w:cstheme="minorHAnsi"/>
                <w:i/>
              </w:rPr>
              <w:t xml:space="preserve"> i </w:t>
            </w:r>
            <w:proofErr w:type="spellStart"/>
            <w:r w:rsidRPr="00C075A5">
              <w:rPr>
                <w:rFonts w:eastAsia="Calibri" w:cstheme="minorHAnsi"/>
                <w:i/>
              </w:rPr>
              <w:t>dystres</w:t>
            </w:r>
            <w:proofErr w:type="spellEnd"/>
            <w:r w:rsidRPr="00C075A5">
              <w:rPr>
                <w:rFonts w:eastAsia="Calibri" w:cstheme="minorHAnsi"/>
                <w:i/>
              </w:rPr>
              <w:t>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-Wymienia sposoby „walki ze stresem”.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lastRenderedPageBreak/>
              <w:t>- Charakteryzuje czynniki mogące wywołać zmiany.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Uczeń wymienia etapy wprowadzania zmian.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Wskazuje korzyści wynikające z inwestycji pracodawcy w pracownika.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Uczeń wymienia formy rozwoju wiedzy i umiejętności pracowników.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Dokonuje samooceny wpływu tych czynników na własny rozwój. Współpracuje w grupie.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Wymienia skutki etycznych i nieetycznych działań firmy.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-Wymienia cechy osoby dobrze wychowanej.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-Prawidłowo ocenia przedstawioną lub zaobserwowaną sytuację.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Charakteryzuje korzyści wynikające ze stawiania celów.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wymienia zasady formułowania celów SMARTER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definiuje efektywność osobistą.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-Charakteryzuje zarządzanie sobą w czasie reaktywne i proaktywne.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charakteryzuje czynniki utrudniające i ułatwiające zarządzanie czasem.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lastRenderedPageBreak/>
              <w:t>- Kategoryzuje planowanie bieżące, krótkoterminowe, średnioterminowe, długoterminowe, strategiczne. Uczeń charakteryzuje poszczególne cechy dobrego planu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Wyjaśnia zapisy art.100 kodeksu pracy dotyczącego obowiązków pracowników.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ogólnie charakteryzuje zakres Ustawa o ochronie informacji niejawnych.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charakteryzuje dane osobowe zwykłe i wrażliwe.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-Uzasadnia znaczenie budowania wizerunku firmy.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dopasowuje charakterystykę wizerunków cząstkowych do grup docelowych.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komunikacji werbalnej i pozawerbalnej.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-Wyjaśnia schemat komunikacji.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 xml:space="preserve">-Podaje przykłady </w:t>
            </w:r>
            <w:proofErr w:type="spellStart"/>
            <w:r w:rsidRPr="00C075A5">
              <w:rPr>
                <w:rFonts w:eastAsia="Calibri" w:cstheme="minorHAnsi"/>
                <w:i/>
              </w:rPr>
              <w:t>zachowań</w:t>
            </w:r>
            <w:proofErr w:type="spellEnd"/>
            <w:r w:rsidRPr="00C075A5">
              <w:rPr>
                <w:rFonts w:eastAsia="Calibri" w:cstheme="minorHAnsi"/>
                <w:i/>
              </w:rPr>
              <w:t xml:space="preserve"> niewerbalnych związanych z: mimiką, kontaktem wzrokowym, gestykulacją, ruchami głową, dystansem, pozycją ciała, dotykiem, ubiorem, przestrzenią zewnętrzną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lastRenderedPageBreak/>
              <w:t>- Wymienia etapy negocjacji, uzasadnia, dlaczego każdy z nich jest ważny dla ostatecznego efektu.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Uzasadnia w jaki sposób blokady w komunikacji utrudniają osiągnięcie sukcesu w zespole.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Podaje przykłady konfliktu ze względu na przyczyny po-wstania, dokonuje oceny z którym rodzajem się najczęściej spotyka.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-Uczeń wymienia 5 stylów rozwiązywania sytuacji konfliktowej: współpraca, kompromis, walka, unikanie, uleganie.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Odróżnia pojęcia: produkcja, świadczenie usługi rzeczowej, świadczenie usługi nierzeczowej.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Wymienia jaką postać mogą mieć dokonania dające satysfakcję z pracy.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Opisuje własny profil kompetencyjny.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pojęcia „rekrutacja”, „aplikacja”, „opis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stanowiska”, „profil kandydata” i „ harmonogram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realizacji przydzielonego zadania”.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lastRenderedPageBreak/>
              <w:t>-Opisuje proces wyboru osób do wykonania poszczególnych grup zadań cząstkowych.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-Opisuje przebieg procesu oddelegowania osób do wykonania poszczególnych grup zadań cząstkowych.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Wyjaśnia pojęcia „kierowanie”, „motywacja”, „motywowanie”, „motywatory”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Opisuje zasady skutecznego motywowania.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-Wymienia i charakteryzuje trzy podstawowe sposoby rozwiązywania konfliktów: negocjacje, mediacje i arbitraż.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Przedstawia kierunki komunikacji w organizacji.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jak wielkie kwantyfikatory wpływają na komunikację.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dlaczego plotka może negatywnie wpływać na organizację.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-Definiuje pojęcia „usprawnienia techniczne”, „usprawnienia organizacyjne, i „organizacja</w:t>
            </w:r>
          </w:p>
          <w:p w:rsidR="00D5685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ucząca się”.</w:t>
            </w: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-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Potrafi powiązać kompetencje społeczne z funkcjonowaniem w środowisku pracy.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-Uzasadnia kiedy grupa staje się zespołem.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i charakteryzuje warunki prawidłowego rozwoju moralnego.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 podanej sytuacji problemowej wskazuje fazy i czynności prowadzące do jej rozwiązania.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-Wybiera metodę optymalizacji stresu odpowiednią dla swojej osoby, swój wybór uzasadnia.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teorie zmian wewnętrznych i zewnętrznych w organizacji wg Petera Druckera.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korzyści wynikające z kreatywności – wskazuje przykład z otoczenia na jej poparcie.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-Charakteryzuje poszczególne formy doskonalenia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zawodowego, wskazuje ich mocne i słabe strony.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Wskazuje te elementy rozwojowe, nad którymi powinien popracować. Swój wybór uzasadnia.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Czyta ze zrozumieniem kodeks etyczny w branży zgodnej z kierunkiem kształcenia.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na czym polega społeczna odpowiedzialność biznesu.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charakteryzuje cechy osoby dobrze wychowanej. Uzasadnia tezę, że wysoka kultura osobista ma duży wpływ na życie osobiste, zawodowe i społeczne.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własnej efektywności osobistej, uzasadnia swój wybór.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Selekcjonuje zadania zgodnie z macierzą Eisenhowera. Uczeń podaje przykłady funkcjonowania zasady </w:t>
            </w:r>
            <w:proofErr w:type="spellStart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Pareto</w:t>
            </w:r>
            <w:proofErr w:type="spellEnd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20/80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-Tworzy plan działania zgodnie z jego etapami, ustala zasoby, odpowiedzialnych i harmonogram jego realizacji.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-Podaje przykłady jak nieprzestrzeganie Ustawy o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ochronie sytuacji niejawnych może wpłynąć na bezpieczeństwo państwa. Uczeń podaje przykłady tajemnicy zawodowej w wybranych zawodach.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Na podstawie schematu charakteryzuje poszczególne etapy procesu kształtowania wizerunku firmy.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Uzasadnia szkodliwość </w:t>
            </w:r>
            <w:proofErr w:type="spellStart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fake</w:t>
            </w:r>
            <w:proofErr w:type="spellEnd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newsów.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Uzasadnia potrzebę zajmowania się problemami komunikacji interpersonalnej.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Wyjaśnia, dlaczego w procesie komunikacji ważne jest słuchanie.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Inicjuje działania komunikacji niewerbalnej w trakcie ćwiczeń grupowych, przestrzega ustalonych reguł.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Charakteryzuje trzy style negocjacyjne: Miękki, twardy, zasadniczy.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Diagnozuje przyczyny barier w komunikacji na podstawie przedstawionego przypadku, proponuje sposoby rozwiązania.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Analizuje sytuację konfliktową, dokonuje diagnozy i proponuje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rozwiązanie do konkretnej sytuacji konfliktowej.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uzasadnia funkcjonowanie triady skuteczności.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-Wskazuje podstawy prawne świadczenia pracy.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-Analizuje pracę grupy, wskazuje jej możne i słabe strony,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-wskazuje cechy przywódcze.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-Definiuje zbiór zadań cząstkowych dla podanego zadania jakie ma wykonać zespół oraz określa kolejność i terminy ich wykonania.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-Sporządza mapę procesu dla podanego zadania, jakie ma wykonać zespół.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-Sporządza harmonogram realizacji podanego zadania, jakie ma wykonać zespół.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Dokonuje grupowania zadań cząstkowych dla podanego zadania, jakie ma wykonać zespół.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Sporządza profil kompetencyjny osoby odpowiedzialnej za wykonanie podanej grupy zadań cząstkowych.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-Opisuje przebieg procesu zatrudniania nowych </w:t>
            </w: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pracowników przez organizację.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-Podaje wady i zalety rekrutacji wewnętrznej i rekrutacji zewnętrznej.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Na podstawie przed-stawionego opisu sytuacji ustala cele dla pracownika zgodnie z zasadą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SMART.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Wybiera najlepszy kanał komunikacji do przedstawionego opisu sytuacji. Proponuje zastosowanie konkretnych sposobów usunięcia przeszkód w komunikacji do przedstawionego opisu sytuacji.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-Podaje przykłady usprawnień technicznych i usprawnień organizacyjnych dla swojej branży.</w:t>
            </w:r>
          </w:p>
          <w:p w:rsidR="00D5685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Formułuje stan pożądany dla podanych przykładów zadań</w:t>
            </w:r>
          </w:p>
        </w:tc>
        <w:tc>
          <w:tcPr>
            <w:tcW w:w="2948" w:type="dxa"/>
          </w:tcPr>
          <w:p w:rsidR="00D56858" w:rsidRPr="00C075A5" w:rsidRDefault="00C075A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C075A5">
              <w:rPr>
                <w:rFonts w:eastAsia="Calibri" w:cstheme="minorHAnsi"/>
                <w:bCs/>
                <w:i/>
                <w:color w:val="000000"/>
              </w:rPr>
              <w:lastRenderedPageBreak/>
              <w:t>- opracowuje plan rozwoju własnych kompetencji</w:t>
            </w:r>
          </w:p>
          <w:p w:rsidR="00C075A5" w:rsidRPr="00C075A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C075A5">
              <w:rPr>
                <w:rFonts w:eastAsia="Calibri" w:cstheme="minorHAnsi"/>
                <w:bCs/>
                <w:i/>
                <w:color w:val="000000"/>
              </w:rPr>
              <w:t>- organizuje pracę jako lider</w:t>
            </w:r>
          </w:p>
          <w:p w:rsidR="00C075A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- samodzielnie opracowuje plan pracy zespołu</w:t>
            </w:r>
          </w:p>
          <w:p w:rsidR="00C075A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-potrafi rozwiązać konflikt w zespole na wybranym przykładzie </w:t>
            </w:r>
          </w:p>
          <w:p w:rsidR="00C075A5" w:rsidRPr="009E34A8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- sporządza Harmonogram pracy</w:t>
            </w:r>
          </w:p>
        </w:tc>
      </w:tr>
      <w:tr w:rsidR="001C23F9" w:rsidRPr="001C23F9" w:rsidTr="000E1905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Default="00260CD5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Kursywa – ocena śródroczna</w:t>
            </w:r>
          </w:p>
          <w:p w:rsidR="00260CD5" w:rsidRPr="001C23F9" w:rsidRDefault="00260CD5" w:rsidP="00260CD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Pozostałe - końcowo roczna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3F9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3F9" w:rsidRDefault="001C23F9"/>
    <w:sectPr w:rsidR="001C23F9" w:rsidSect="000E19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B8B" w:rsidRDefault="001A6B8B" w:rsidP="001C23F9">
      <w:pPr>
        <w:spacing w:after="0" w:line="240" w:lineRule="auto"/>
      </w:pPr>
      <w:r>
        <w:separator/>
      </w:r>
    </w:p>
  </w:endnote>
  <w:endnote w:type="continuationSeparator" w:id="0">
    <w:p w:rsidR="001A6B8B" w:rsidRDefault="001A6B8B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8E2958" w:rsidRDefault="008E29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2C5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B8B" w:rsidRDefault="001A6B8B" w:rsidP="001C23F9">
      <w:pPr>
        <w:spacing w:after="0" w:line="240" w:lineRule="auto"/>
      </w:pPr>
      <w:r>
        <w:separator/>
      </w:r>
    </w:p>
  </w:footnote>
  <w:footnote w:type="continuationSeparator" w:id="0">
    <w:p w:rsidR="001A6B8B" w:rsidRDefault="001A6B8B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0E1905"/>
    <w:rsid w:val="001A6B8B"/>
    <w:rsid w:val="001C23F9"/>
    <w:rsid w:val="001D0FFB"/>
    <w:rsid w:val="00260CD5"/>
    <w:rsid w:val="002B4DE3"/>
    <w:rsid w:val="003048A5"/>
    <w:rsid w:val="004649BE"/>
    <w:rsid w:val="0054706F"/>
    <w:rsid w:val="00616ABD"/>
    <w:rsid w:val="006A62C5"/>
    <w:rsid w:val="008E2958"/>
    <w:rsid w:val="00975079"/>
    <w:rsid w:val="009E34A8"/>
    <w:rsid w:val="009E3C8D"/>
    <w:rsid w:val="00C004A6"/>
    <w:rsid w:val="00C075A5"/>
    <w:rsid w:val="00D56858"/>
    <w:rsid w:val="00F9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71D1A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1788</Words>
  <Characters>10730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2024-10-04T11:06:00Z</dcterms:created>
  <dcterms:modified xsi:type="dcterms:W3CDTF">2024-10-10T11:58:00Z</dcterms:modified>
</cp:coreProperties>
</file>